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F0950">
      <w:pPr>
        <w:spacing w:line="360" w:lineRule="auto"/>
        <w:rPr>
          <w:rFonts w:hint="eastAsia" w:asciiTheme="minorEastAsia" w:hAnsiTheme="minorEastAsia" w:eastAsiaTheme="minorEastAsia" w:cstheme="minorEastAsia"/>
          <w:color w:val="auto"/>
          <w:sz w:val="52"/>
          <w:szCs w:val="52"/>
          <w:lang w:val="en-US" w:eastAsia="zh-CN"/>
        </w:rPr>
      </w:pPr>
      <w:bookmarkStart w:id="0" w:name="_Toc183682338"/>
      <w:bookmarkStart w:id="1" w:name="_Toc217446030"/>
      <w:r>
        <w:rPr>
          <w:rFonts w:hint="eastAsia" w:asciiTheme="minorEastAsia" w:hAnsiTheme="minorEastAsia" w:cstheme="minorEastAsia"/>
          <w:color w:val="auto"/>
          <w:sz w:val="52"/>
          <w:szCs w:val="52"/>
          <w:lang w:val="en-US" w:eastAsia="zh-CN"/>
        </w:rPr>
        <w:t>附件：</w:t>
      </w:r>
    </w:p>
    <w:p w14:paraId="7CD4669F">
      <w:pPr>
        <w:spacing w:line="360" w:lineRule="auto"/>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lang w:val="en-US" w:eastAsia="zh-CN"/>
        </w:rPr>
        <w:t>达州市水土保持监测站2025年度运行技术服务</w:t>
      </w:r>
    </w:p>
    <w:p w14:paraId="2BA09A82">
      <w:pPr>
        <w:pStyle w:val="6"/>
        <w:rPr>
          <w:rFonts w:hint="eastAsia" w:asciiTheme="minorEastAsia" w:hAnsiTheme="minorEastAsia" w:eastAsiaTheme="minorEastAsia" w:cstheme="minorEastAsia"/>
          <w:color w:val="auto"/>
        </w:rPr>
      </w:pPr>
    </w:p>
    <w:p w14:paraId="17425967">
      <w:pPr>
        <w:tabs>
          <w:tab w:val="left" w:pos="5954"/>
        </w:tabs>
        <w:spacing w:line="360" w:lineRule="auto"/>
        <w:jc w:val="center"/>
        <w:rPr>
          <w:rFonts w:hint="eastAsia" w:asciiTheme="minorEastAsia" w:hAnsiTheme="minorEastAsia" w:eastAsiaTheme="minorEastAsia" w:cstheme="minorEastAsia"/>
          <w:b/>
          <w:bCs/>
          <w:color w:val="auto"/>
          <w:sz w:val="84"/>
          <w:szCs w:val="84"/>
        </w:rPr>
      </w:pPr>
      <w:r>
        <w:rPr>
          <w:rFonts w:hint="eastAsia" w:asciiTheme="minorEastAsia" w:hAnsiTheme="minorEastAsia" w:eastAsiaTheme="minorEastAsia" w:cstheme="minorEastAsia"/>
          <w:b/>
          <w:bCs/>
          <w:color w:val="auto"/>
          <w:sz w:val="84"/>
          <w:szCs w:val="84"/>
        </w:rPr>
        <w:t>竞争性磋商文件</w:t>
      </w:r>
    </w:p>
    <w:p w14:paraId="7CD284DE">
      <w:pPr>
        <w:spacing w:line="360" w:lineRule="auto"/>
        <w:jc w:val="center"/>
        <w:rPr>
          <w:rFonts w:hint="eastAsia" w:asciiTheme="minorEastAsia" w:hAnsiTheme="minorEastAsia" w:eastAsiaTheme="minorEastAsia" w:cstheme="minorEastAsia"/>
          <w:color w:val="auto"/>
          <w:sz w:val="28"/>
          <w:szCs w:val="28"/>
        </w:rPr>
      </w:pPr>
    </w:p>
    <w:p w14:paraId="2363C71B">
      <w:pPr>
        <w:spacing w:line="360" w:lineRule="auto"/>
        <w:ind w:firstLine="1440" w:firstLineChars="450"/>
        <w:rPr>
          <w:rFonts w:hint="eastAsia" w:asciiTheme="minorEastAsia" w:hAnsiTheme="minorEastAsia" w:eastAsiaTheme="minorEastAsia" w:cstheme="minorEastAsia"/>
          <w:color w:val="auto"/>
          <w:sz w:val="32"/>
          <w:szCs w:val="32"/>
        </w:rPr>
      </w:pPr>
    </w:p>
    <w:p w14:paraId="3EAB5EA2">
      <w:pPr>
        <w:spacing w:line="360" w:lineRule="auto"/>
        <w:ind w:firstLine="1440" w:firstLineChars="450"/>
        <w:rPr>
          <w:rFonts w:hint="eastAsia" w:asciiTheme="minorEastAsia" w:hAnsiTheme="minorEastAsia" w:eastAsiaTheme="minorEastAsia" w:cstheme="minorEastAsia"/>
          <w:color w:val="auto"/>
          <w:sz w:val="32"/>
          <w:szCs w:val="32"/>
        </w:rPr>
      </w:pPr>
    </w:p>
    <w:p w14:paraId="382AE33D">
      <w:pPr>
        <w:spacing w:line="360" w:lineRule="auto"/>
        <w:ind w:firstLine="1440" w:firstLineChars="450"/>
        <w:rPr>
          <w:rFonts w:hint="eastAsia" w:asciiTheme="minorEastAsia" w:hAnsiTheme="minorEastAsia" w:eastAsiaTheme="minorEastAsia" w:cstheme="minorEastAsia"/>
          <w:color w:val="auto"/>
          <w:sz w:val="32"/>
          <w:szCs w:val="32"/>
        </w:rPr>
      </w:pPr>
    </w:p>
    <w:p w14:paraId="28BA1B31">
      <w:pPr>
        <w:spacing w:line="360" w:lineRule="auto"/>
        <w:ind w:firstLine="1440" w:firstLineChars="450"/>
        <w:rPr>
          <w:rFonts w:hint="eastAsia" w:asciiTheme="minorEastAsia" w:hAnsiTheme="minorEastAsia" w:eastAsiaTheme="minorEastAsia" w:cstheme="minorEastAsia"/>
          <w:color w:val="auto"/>
          <w:sz w:val="32"/>
          <w:szCs w:val="32"/>
        </w:rPr>
      </w:pPr>
    </w:p>
    <w:p w14:paraId="797CAB80">
      <w:pPr>
        <w:spacing w:line="360" w:lineRule="auto"/>
        <w:ind w:firstLine="1440" w:firstLineChars="450"/>
        <w:rPr>
          <w:rFonts w:hint="eastAsia" w:asciiTheme="minorEastAsia" w:hAnsiTheme="minorEastAsia" w:eastAsiaTheme="minorEastAsia" w:cstheme="minorEastAsia"/>
          <w:color w:val="auto"/>
          <w:sz w:val="32"/>
          <w:szCs w:val="32"/>
        </w:rPr>
      </w:pPr>
    </w:p>
    <w:p w14:paraId="45A68926">
      <w:pPr>
        <w:spacing w:line="360" w:lineRule="auto"/>
        <w:rPr>
          <w:rFonts w:hint="eastAsia" w:asciiTheme="minorEastAsia" w:hAnsiTheme="minorEastAsia" w:eastAsiaTheme="minorEastAsia" w:cstheme="minorEastAsia"/>
          <w:color w:val="auto"/>
          <w:kern w:val="2"/>
          <w:sz w:val="32"/>
          <w:szCs w:val="32"/>
          <w:lang w:val="en-US" w:eastAsia="zh-CN" w:bidi="ar-SA"/>
        </w:rPr>
      </w:pPr>
    </w:p>
    <w:p w14:paraId="227F09F4">
      <w:pPr>
        <w:spacing w:line="360" w:lineRule="auto"/>
        <w:ind w:firstLine="320" w:firstLineChars="100"/>
        <w:jc w:val="center"/>
        <w:rPr>
          <w:rFonts w:hint="eastAsia" w:asciiTheme="minorEastAsia" w:hAnsiTheme="minorEastAsia" w:eastAsiaTheme="minorEastAsia" w:cstheme="minorEastAsia"/>
          <w:color w:val="auto"/>
          <w:kern w:val="2"/>
          <w:sz w:val="32"/>
          <w:szCs w:val="32"/>
          <w:lang w:eastAsia="zh-CN" w:bidi="ar-SA"/>
        </w:rPr>
      </w:pPr>
      <w:r>
        <w:rPr>
          <w:rFonts w:hint="eastAsia" w:asciiTheme="minorEastAsia" w:hAnsiTheme="minorEastAsia" w:eastAsiaTheme="minorEastAsia" w:cstheme="minorEastAsia"/>
          <w:color w:val="auto"/>
          <w:kern w:val="2"/>
          <w:sz w:val="32"/>
          <w:szCs w:val="32"/>
          <w:lang w:val="en-US" w:eastAsia="zh-CN" w:bidi="ar-SA"/>
        </w:rPr>
        <w:t xml:space="preserve">采  购  人 </w:t>
      </w:r>
      <w:r>
        <w:rPr>
          <w:rFonts w:hint="eastAsia" w:asciiTheme="minorEastAsia" w:hAnsiTheme="minorEastAsia" w:cstheme="minorEastAsia"/>
          <w:color w:val="auto"/>
          <w:kern w:val="2"/>
          <w:sz w:val="32"/>
          <w:szCs w:val="32"/>
          <w:lang w:val="en-US" w:eastAsia="zh-CN" w:bidi="ar-SA"/>
        </w:rPr>
        <w:t>：</w:t>
      </w:r>
      <w:r>
        <w:rPr>
          <w:rFonts w:hint="eastAsia" w:asciiTheme="minorEastAsia" w:hAnsiTheme="minorEastAsia" w:eastAsiaTheme="minorEastAsia" w:cstheme="minorEastAsia"/>
          <w:color w:val="auto"/>
          <w:kern w:val="2"/>
          <w:sz w:val="32"/>
          <w:szCs w:val="32"/>
          <w:lang w:eastAsia="zh-CN" w:bidi="ar-SA"/>
        </w:rPr>
        <w:t>达州市水务局</w:t>
      </w:r>
    </w:p>
    <w:p w14:paraId="4ECEB79C">
      <w:pPr>
        <w:spacing w:line="600" w:lineRule="auto"/>
        <w:ind w:firstLine="3680" w:firstLineChars="1150"/>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color w:val="auto"/>
          <w:kern w:val="2"/>
          <w:sz w:val="32"/>
          <w:szCs w:val="32"/>
          <w:lang w:val="en-US" w:eastAsia="zh-CN" w:bidi="ar-SA"/>
        </w:rPr>
        <w:t>202</w:t>
      </w:r>
      <w:r>
        <w:rPr>
          <w:rFonts w:hint="eastAsia" w:asciiTheme="minorEastAsia" w:hAnsiTheme="minorEastAsia" w:cstheme="minorEastAsia"/>
          <w:color w:val="auto"/>
          <w:kern w:val="2"/>
          <w:sz w:val="32"/>
          <w:szCs w:val="32"/>
          <w:lang w:val="en-US" w:eastAsia="zh-CN" w:bidi="ar-SA"/>
        </w:rPr>
        <w:t>5</w:t>
      </w:r>
      <w:r>
        <w:rPr>
          <w:rFonts w:hint="eastAsia" w:asciiTheme="minorEastAsia" w:hAnsiTheme="minorEastAsia" w:eastAsiaTheme="minorEastAsia" w:cstheme="minorEastAsia"/>
          <w:color w:val="auto"/>
          <w:kern w:val="2"/>
          <w:sz w:val="32"/>
          <w:szCs w:val="32"/>
          <w:lang w:val="en-US" w:eastAsia="zh-CN" w:bidi="ar-SA"/>
        </w:rPr>
        <w:t>年</w:t>
      </w:r>
      <w:r>
        <w:rPr>
          <w:rFonts w:hint="eastAsia" w:asciiTheme="minorEastAsia" w:hAnsiTheme="minorEastAsia" w:cstheme="minorEastAsia"/>
          <w:color w:val="auto"/>
          <w:kern w:val="2"/>
          <w:sz w:val="32"/>
          <w:szCs w:val="32"/>
          <w:lang w:val="en-US" w:eastAsia="zh-CN" w:bidi="ar-SA"/>
        </w:rPr>
        <w:t>3</w:t>
      </w:r>
      <w:r>
        <w:rPr>
          <w:rFonts w:hint="eastAsia" w:asciiTheme="minorEastAsia" w:hAnsiTheme="minorEastAsia" w:eastAsiaTheme="minorEastAsia" w:cstheme="minorEastAsia"/>
          <w:color w:val="auto"/>
          <w:kern w:val="2"/>
          <w:sz w:val="32"/>
          <w:szCs w:val="32"/>
          <w:lang w:val="en-US" w:eastAsia="zh-CN" w:bidi="ar-SA"/>
        </w:rPr>
        <w:t>月</w:t>
      </w:r>
      <w:bookmarkStart w:id="2" w:name="_Toc387242467"/>
      <w:bookmarkStart w:id="3" w:name="_Toc404244909"/>
    </w:p>
    <w:p w14:paraId="571CD6BE">
      <w:pPr>
        <w:spacing w:line="600" w:lineRule="auto"/>
        <w:ind w:firstLine="210" w:firstLineChars="100"/>
        <w:rPr>
          <w:rFonts w:hint="eastAsia" w:ascii="方正仿宋_GBK" w:hAnsi="方正仿宋_GBK" w:eastAsia="方正仿宋_GBK" w:cs="方正仿宋_GBK"/>
          <w:color w:val="auto"/>
          <w:szCs w:val="24"/>
        </w:rPr>
      </w:pPr>
    </w:p>
    <w:p w14:paraId="71A335F9">
      <w:pPr>
        <w:spacing w:line="600" w:lineRule="auto"/>
        <w:ind w:firstLine="210" w:firstLineChars="100"/>
        <w:rPr>
          <w:rFonts w:hint="eastAsia" w:ascii="方正仿宋_GBK" w:hAnsi="方正仿宋_GBK" w:eastAsia="方正仿宋_GBK" w:cs="方正仿宋_GBK"/>
          <w:color w:val="auto"/>
          <w:szCs w:val="24"/>
        </w:rPr>
      </w:pPr>
    </w:p>
    <w:p w14:paraId="6E7A8797">
      <w:pPr>
        <w:spacing w:line="360" w:lineRule="auto"/>
        <w:jc w:val="center"/>
        <w:rPr>
          <w:rFonts w:hint="eastAsia" w:ascii="方正仿宋_GBK" w:hAnsi="方正仿宋_GBK" w:eastAsia="方正仿宋_GBK" w:cs="方正仿宋_GBK"/>
          <w:b/>
          <w:bCs/>
          <w:color w:val="auto"/>
          <w:sz w:val="36"/>
          <w:szCs w:val="36"/>
          <w:lang w:val="zh-CN"/>
        </w:rPr>
      </w:pPr>
    </w:p>
    <w:p w14:paraId="3CD97E61">
      <w:pPr>
        <w:pStyle w:val="6"/>
        <w:rPr>
          <w:rFonts w:hint="eastAsia" w:ascii="方正仿宋_GBK" w:hAnsi="方正仿宋_GBK" w:eastAsia="方正仿宋_GBK" w:cs="方正仿宋_GBK"/>
          <w:b/>
          <w:bCs/>
          <w:color w:val="auto"/>
          <w:sz w:val="36"/>
          <w:szCs w:val="36"/>
          <w:lang w:val="zh-CN"/>
        </w:rPr>
      </w:pPr>
    </w:p>
    <w:p w14:paraId="45436417">
      <w:pPr>
        <w:pStyle w:val="14"/>
        <w:rPr>
          <w:rFonts w:hint="eastAsia" w:ascii="方正仿宋_GBK" w:hAnsi="方正仿宋_GBK" w:eastAsia="方正仿宋_GBK" w:cs="方正仿宋_GBK"/>
          <w:color w:val="auto"/>
          <w:lang w:val="zh-CN"/>
        </w:rPr>
      </w:pPr>
    </w:p>
    <w:p w14:paraId="35F7E26E">
      <w:pPr>
        <w:spacing w:line="360" w:lineRule="auto"/>
        <w:jc w:val="center"/>
        <w:rPr>
          <w:rFonts w:hint="eastAsia" w:ascii="方正仿宋_GBK" w:hAnsi="方正仿宋_GBK" w:eastAsia="方正仿宋_GBK" w:cs="方正仿宋_GBK"/>
          <w:b/>
          <w:bCs/>
          <w:color w:val="auto"/>
          <w:sz w:val="36"/>
          <w:szCs w:val="36"/>
          <w:lang w:val="zh-CN"/>
        </w:rPr>
        <w:sectPr>
          <w:headerReference r:id="rId3" w:type="default"/>
          <w:footerReference r:id="rId4" w:type="default"/>
          <w:pgSz w:w="11907" w:h="16840"/>
          <w:pgMar w:top="1304" w:right="1418" w:bottom="1247" w:left="1418" w:header="851" w:footer="992" w:gutter="0"/>
          <w:pgNumType w:fmt="decimal" w:start="1"/>
          <w:cols w:space="720" w:num="1"/>
        </w:sectPr>
      </w:pPr>
    </w:p>
    <w:p w14:paraId="48EA0EAF">
      <w:pPr>
        <w:spacing w:line="360" w:lineRule="auto"/>
        <w:jc w:val="center"/>
        <w:rPr>
          <w:rFonts w:hint="eastAsia" w:ascii="方正仿宋_GBK" w:hAnsi="方正仿宋_GBK" w:eastAsia="方正仿宋_GBK" w:cs="方正仿宋_GBK"/>
          <w:b/>
          <w:bCs/>
          <w:color w:val="auto"/>
          <w:sz w:val="36"/>
          <w:szCs w:val="36"/>
          <w:lang w:val="zh-CN"/>
        </w:rPr>
      </w:pPr>
      <w:r>
        <w:rPr>
          <w:rFonts w:hint="eastAsia" w:ascii="方正仿宋_GBK" w:hAnsi="方正仿宋_GBK" w:eastAsia="方正仿宋_GBK" w:cs="方正仿宋_GBK"/>
          <w:b/>
          <w:bCs/>
          <w:color w:val="auto"/>
          <w:sz w:val="36"/>
          <w:szCs w:val="36"/>
          <w:lang w:val="zh-CN"/>
        </w:rPr>
        <w:t>目录</w:t>
      </w:r>
    </w:p>
    <w:p w14:paraId="294BD2F6">
      <w:pPr>
        <w:spacing w:line="360" w:lineRule="auto"/>
        <w:jc w:val="center"/>
        <w:rPr>
          <w:rFonts w:hint="eastAsia" w:ascii="方正仿宋_GBK" w:hAnsi="方正仿宋_GBK" w:eastAsia="方正仿宋_GBK" w:cs="方正仿宋_GBK"/>
          <w:b/>
          <w:bCs/>
          <w:color w:val="auto"/>
          <w:sz w:val="36"/>
          <w:szCs w:val="36"/>
          <w:lang w:val="zh-CN"/>
        </w:rPr>
      </w:pPr>
    </w:p>
    <w:p w14:paraId="157E6739">
      <w:pPr>
        <w:pStyle w:val="12"/>
        <w:tabs>
          <w:tab w:val="right" w:leader="dot" w:pos="9071"/>
        </w:tabs>
        <w:rPr>
          <w:color w:val="auto"/>
          <w:sz w:val="24"/>
          <w:szCs w:val="24"/>
        </w:rPr>
      </w:pPr>
      <w:bookmarkStart w:id="4" w:name="_Toc3546"/>
      <w:r>
        <w:rPr>
          <w:rFonts w:hint="eastAsia" w:ascii="方正仿宋_GBK" w:hAnsi="方正仿宋_GBK" w:eastAsia="方正仿宋_GBK" w:cs="方正仿宋_GBK"/>
          <w:color w:val="auto"/>
          <w:sz w:val="24"/>
          <w:szCs w:val="24"/>
          <w:lang w:eastAsia="zh-CN"/>
        </w:rPr>
        <w:fldChar w:fldCharType="begin"/>
      </w:r>
      <w:r>
        <w:rPr>
          <w:rStyle w:val="18"/>
          <w:rFonts w:hint="eastAsia" w:ascii="方正仿宋_GBK" w:hAnsi="方正仿宋_GBK" w:eastAsia="方正仿宋_GBK" w:cs="方正仿宋_GBK"/>
          <w:color w:val="auto"/>
          <w:sz w:val="24"/>
          <w:szCs w:val="24"/>
          <w:lang w:eastAsia="zh-CN"/>
        </w:rPr>
        <w:instrText xml:space="preserve">TOC \o "1-1" \h \u </w:instrText>
      </w:r>
      <w:r>
        <w:rPr>
          <w:rFonts w:hint="eastAsia" w:ascii="方正仿宋_GBK" w:hAnsi="方正仿宋_GBK" w:eastAsia="方正仿宋_GBK" w:cs="方正仿宋_GBK"/>
          <w:color w:val="auto"/>
          <w:sz w:val="24"/>
          <w:szCs w:val="24"/>
          <w:lang w:eastAsia="zh-CN"/>
        </w:rPr>
        <w:fldChar w:fldCharType="separate"/>
      </w:r>
      <w:r>
        <w:rPr>
          <w:rFonts w:hint="eastAsia" w:ascii="方正仿宋_GBK" w:hAnsi="方正仿宋_GBK" w:eastAsia="方正仿宋_GBK" w:cs="方正仿宋_GBK"/>
          <w:color w:val="auto"/>
          <w:sz w:val="24"/>
          <w:szCs w:val="24"/>
          <w:lang w:eastAsia="zh-CN"/>
        </w:rPr>
        <w:fldChar w:fldCharType="begin"/>
      </w:r>
      <w:r>
        <w:rPr>
          <w:rFonts w:hint="eastAsia" w:ascii="方正仿宋_GBK" w:hAnsi="方正仿宋_GBK" w:eastAsia="方正仿宋_GBK" w:cs="方正仿宋_GBK"/>
          <w:color w:val="auto"/>
          <w:sz w:val="24"/>
          <w:szCs w:val="24"/>
          <w:lang w:eastAsia="zh-CN"/>
        </w:rPr>
        <w:instrText xml:space="preserve"> HYPERLINK \l _Toc1013556471 </w:instrText>
      </w:r>
      <w:r>
        <w:rPr>
          <w:rFonts w:hint="eastAsia" w:ascii="方正仿宋_GBK" w:hAnsi="方正仿宋_GBK" w:eastAsia="方正仿宋_GBK" w:cs="方正仿宋_GBK"/>
          <w:color w:val="auto"/>
          <w:sz w:val="24"/>
          <w:szCs w:val="24"/>
          <w:lang w:eastAsia="zh-CN"/>
        </w:rPr>
        <w:fldChar w:fldCharType="separate"/>
      </w:r>
      <w:r>
        <w:rPr>
          <w:rFonts w:hint="eastAsia" w:ascii="方正仿宋_GBK" w:hAnsi="方正仿宋_GBK" w:eastAsia="方正仿宋_GBK" w:cs="方正仿宋_GBK"/>
          <w:bCs/>
          <w:color w:val="auto"/>
          <w:sz w:val="24"/>
          <w:szCs w:val="24"/>
        </w:rPr>
        <w:t>第一部分  竞争性磋商公告</w:t>
      </w:r>
      <w:r>
        <w:rPr>
          <w:color w:val="auto"/>
          <w:sz w:val="24"/>
          <w:szCs w:val="24"/>
        </w:rPr>
        <w:tab/>
      </w:r>
      <w:r>
        <w:rPr>
          <w:color w:val="auto"/>
          <w:sz w:val="24"/>
          <w:szCs w:val="24"/>
        </w:rPr>
        <w:fldChar w:fldCharType="begin"/>
      </w:r>
      <w:r>
        <w:rPr>
          <w:color w:val="auto"/>
          <w:sz w:val="24"/>
          <w:szCs w:val="24"/>
        </w:rPr>
        <w:instrText xml:space="preserve"> PAGEREF _Toc1013556471 </w:instrText>
      </w:r>
      <w:r>
        <w:rPr>
          <w:color w:val="auto"/>
          <w:sz w:val="24"/>
          <w:szCs w:val="24"/>
        </w:rPr>
        <w:fldChar w:fldCharType="separate"/>
      </w:r>
      <w:r>
        <w:rPr>
          <w:color w:val="auto"/>
          <w:sz w:val="24"/>
          <w:szCs w:val="24"/>
        </w:rPr>
        <w:t>3</w:t>
      </w:r>
      <w:r>
        <w:rPr>
          <w:color w:val="auto"/>
          <w:sz w:val="24"/>
          <w:szCs w:val="24"/>
        </w:rPr>
        <w:fldChar w:fldCharType="end"/>
      </w:r>
      <w:r>
        <w:rPr>
          <w:rFonts w:hint="eastAsia" w:ascii="方正仿宋_GBK" w:hAnsi="方正仿宋_GBK" w:eastAsia="方正仿宋_GBK" w:cs="方正仿宋_GBK"/>
          <w:color w:val="auto"/>
          <w:sz w:val="24"/>
          <w:szCs w:val="24"/>
          <w:lang w:eastAsia="zh-CN"/>
        </w:rPr>
        <w:fldChar w:fldCharType="end"/>
      </w:r>
    </w:p>
    <w:p w14:paraId="7A70E60B">
      <w:pPr>
        <w:pStyle w:val="12"/>
        <w:tabs>
          <w:tab w:val="right" w:leader="dot" w:pos="9071"/>
        </w:tabs>
        <w:rPr>
          <w:color w:val="auto"/>
          <w:sz w:val="24"/>
          <w:szCs w:val="24"/>
        </w:rPr>
      </w:pPr>
      <w:r>
        <w:rPr>
          <w:rFonts w:hint="eastAsia" w:ascii="方正仿宋_GBK" w:hAnsi="方正仿宋_GBK" w:eastAsia="方正仿宋_GBK" w:cs="方正仿宋_GBK"/>
          <w:color w:val="auto"/>
          <w:sz w:val="24"/>
          <w:szCs w:val="24"/>
          <w:lang w:eastAsia="zh-CN"/>
        </w:rPr>
        <w:fldChar w:fldCharType="begin"/>
      </w:r>
      <w:r>
        <w:rPr>
          <w:rFonts w:hint="eastAsia" w:ascii="方正仿宋_GBK" w:hAnsi="方正仿宋_GBK" w:eastAsia="方正仿宋_GBK" w:cs="方正仿宋_GBK"/>
          <w:color w:val="auto"/>
          <w:sz w:val="24"/>
          <w:szCs w:val="24"/>
          <w:lang w:eastAsia="zh-CN"/>
        </w:rPr>
        <w:instrText xml:space="preserve"> HYPERLINK \l _Toc1317108148 </w:instrText>
      </w:r>
      <w:r>
        <w:rPr>
          <w:rFonts w:hint="eastAsia" w:ascii="方正仿宋_GBK" w:hAnsi="方正仿宋_GBK" w:eastAsia="方正仿宋_GBK" w:cs="方正仿宋_GBK"/>
          <w:color w:val="auto"/>
          <w:sz w:val="24"/>
          <w:szCs w:val="24"/>
          <w:lang w:eastAsia="zh-CN"/>
        </w:rPr>
        <w:fldChar w:fldCharType="separate"/>
      </w:r>
      <w:r>
        <w:rPr>
          <w:rFonts w:hint="eastAsia" w:ascii="方正仿宋_GBK" w:hAnsi="方正仿宋_GBK" w:eastAsia="方正仿宋_GBK" w:cs="方正仿宋_GBK"/>
          <w:bCs w:val="0"/>
          <w:color w:val="auto"/>
          <w:sz w:val="24"/>
          <w:szCs w:val="24"/>
        </w:rPr>
        <w:t>第</w:t>
      </w:r>
      <w:r>
        <w:rPr>
          <w:rFonts w:hint="eastAsia" w:ascii="方正仿宋_GBK" w:hAnsi="方正仿宋_GBK" w:eastAsia="方正仿宋_GBK" w:cs="方正仿宋_GBK"/>
          <w:bCs w:val="0"/>
          <w:color w:val="auto"/>
          <w:sz w:val="24"/>
          <w:szCs w:val="24"/>
          <w:lang w:eastAsia="zh-CN"/>
        </w:rPr>
        <w:t>二</w:t>
      </w:r>
      <w:r>
        <w:rPr>
          <w:rFonts w:hint="eastAsia" w:ascii="方正仿宋_GBK" w:hAnsi="方正仿宋_GBK" w:eastAsia="方正仿宋_GBK" w:cs="方正仿宋_GBK"/>
          <w:bCs w:val="0"/>
          <w:color w:val="auto"/>
          <w:sz w:val="24"/>
          <w:szCs w:val="24"/>
        </w:rPr>
        <w:t>部分  供应商须知</w:t>
      </w:r>
      <w:r>
        <w:rPr>
          <w:color w:val="auto"/>
          <w:sz w:val="24"/>
          <w:szCs w:val="24"/>
        </w:rPr>
        <w:tab/>
      </w:r>
      <w:r>
        <w:rPr>
          <w:color w:val="auto"/>
          <w:sz w:val="24"/>
          <w:szCs w:val="24"/>
        </w:rPr>
        <w:fldChar w:fldCharType="begin"/>
      </w:r>
      <w:r>
        <w:rPr>
          <w:color w:val="auto"/>
          <w:sz w:val="24"/>
          <w:szCs w:val="24"/>
        </w:rPr>
        <w:instrText xml:space="preserve"> PAGEREF _Toc1317108148 </w:instrText>
      </w:r>
      <w:r>
        <w:rPr>
          <w:color w:val="auto"/>
          <w:sz w:val="24"/>
          <w:szCs w:val="24"/>
        </w:rPr>
        <w:fldChar w:fldCharType="separate"/>
      </w:r>
      <w:r>
        <w:rPr>
          <w:color w:val="auto"/>
          <w:sz w:val="24"/>
          <w:szCs w:val="24"/>
        </w:rPr>
        <w:t>5</w:t>
      </w:r>
      <w:r>
        <w:rPr>
          <w:color w:val="auto"/>
          <w:sz w:val="24"/>
          <w:szCs w:val="24"/>
        </w:rPr>
        <w:fldChar w:fldCharType="end"/>
      </w:r>
      <w:r>
        <w:rPr>
          <w:rFonts w:hint="eastAsia" w:ascii="方正仿宋_GBK" w:hAnsi="方正仿宋_GBK" w:eastAsia="方正仿宋_GBK" w:cs="方正仿宋_GBK"/>
          <w:color w:val="auto"/>
          <w:sz w:val="24"/>
          <w:szCs w:val="24"/>
          <w:lang w:eastAsia="zh-CN"/>
        </w:rPr>
        <w:fldChar w:fldCharType="end"/>
      </w:r>
    </w:p>
    <w:p w14:paraId="740347C2">
      <w:pPr>
        <w:pStyle w:val="12"/>
        <w:tabs>
          <w:tab w:val="right" w:leader="dot" w:pos="9071"/>
        </w:tabs>
        <w:rPr>
          <w:color w:val="auto"/>
          <w:sz w:val="24"/>
          <w:szCs w:val="24"/>
        </w:rPr>
      </w:pPr>
      <w:r>
        <w:rPr>
          <w:rFonts w:hint="eastAsia" w:ascii="方正仿宋_GBK" w:hAnsi="方正仿宋_GBK" w:eastAsia="方正仿宋_GBK" w:cs="方正仿宋_GBK"/>
          <w:color w:val="auto"/>
          <w:sz w:val="24"/>
          <w:szCs w:val="24"/>
          <w:lang w:eastAsia="zh-CN"/>
        </w:rPr>
        <w:fldChar w:fldCharType="begin"/>
      </w:r>
      <w:r>
        <w:rPr>
          <w:rFonts w:hint="eastAsia" w:ascii="方正仿宋_GBK" w:hAnsi="方正仿宋_GBK" w:eastAsia="方正仿宋_GBK" w:cs="方正仿宋_GBK"/>
          <w:color w:val="auto"/>
          <w:sz w:val="24"/>
          <w:szCs w:val="24"/>
          <w:lang w:eastAsia="zh-CN"/>
        </w:rPr>
        <w:instrText xml:space="preserve"> HYPERLINK \l _Toc1171250400 </w:instrText>
      </w:r>
      <w:r>
        <w:rPr>
          <w:rFonts w:hint="eastAsia" w:ascii="方正仿宋_GBK" w:hAnsi="方正仿宋_GBK" w:eastAsia="方正仿宋_GBK" w:cs="方正仿宋_GBK"/>
          <w:color w:val="auto"/>
          <w:sz w:val="24"/>
          <w:szCs w:val="24"/>
          <w:lang w:eastAsia="zh-CN"/>
        </w:rPr>
        <w:fldChar w:fldCharType="separate"/>
      </w:r>
      <w:r>
        <w:rPr>
          <w:rFonts w:hint="eastAsia" w:ascii="方正仿宋_GBK" w:hAnsi="方正仿宋_GBK" w:eastAsia="方正仿宋_GBK" w:cs="方正仿宋_GBK"/>
          <w:bCs/>
          <w:color w:val="auto"/>
          <w:sz w:val="24"/>
          <w:szCs w:val="24"/>
        </w:rPr>
        <w:t>第</w:t>
      </w:r>
      <w:r>
        <w:rPr>
          <w:rFonts w:hint="eastAsia" w:ascii="方正仿宋_GBK" w:hAnsi="方正仿宋_GBK" w:eastAsia="方正仿宋_GBK" w:cs="方正仿宋_GBK"/>
          <w:bCs/>
          <w:color w:val="auto"/>
          <w:sz w:val="24"/>
          <w:szCs w:val="24"/>
          <w:lang w:eastAsia="zh-CN"/>
        </w:rPr>
        <w:t>三</w:t>
      </w:r>
      <w:r>
        <w:rPr>
          <w:rFonts w:hint="eastAsia" w:ascii="方正仿宋_GBK" w:hAnsi="方正仿宋_GBK" w:eastAsia="方正仿宋_GBK" w:cs="方正仿宋_GBK"/>
          <w:bCs/>
          <w:color w:val="auto"/>
          <w:sz w:val="24"/>
          <w:szCs w:val="24"/>
        </w:rPr>
        <w:t xml:space="preserve">部分 </w:t>
      </w:r>
      <w:r>
        <w:rPr>
          <w:rFonts w:hint="eastAsia" w:ascii="方正仿宋_GBK" w:hAnsi="方正仿宋_GBK" w:eastAsia="方正仿宋_GBK" w:cs="方正仿宋_GBK"/>
          <w:bCs/>
          <w:color w:val="auto"/>
          <w:sz w:val="24"/>
          <w:szCs w:val="24"/>
          <w:lang w:val="en-US" w:eastAsia="zh-CN"/>
        </w:rPr>
        <w:t xml:space="preserve"> </w:t>
      </w:r>
      <w:r>
        <w:rPr>
          <w:rFonts w:hint="eastAsia" w:ascii="方正仿宋_GBK" w:hAnsi="方正仿宋_GBK" w:eastAsia="方正仿宋_GBK" w:cs="方正仿宋_GBK"/>
          <w:bCs/>
          <w:color w:val="auto"/>
          <w:sz w:val="24"/>
          <w:szCs w:val="24"/>
        </w:rPr>
        <w:t>技术</w:t>
      </w:r>
      <w:r>
        <w:rPr>
          <w:rFonts w:hint="eastAsia" w:ascii="方正仿宋_GBK" w:hAnsi="方正仿宋_GBK" w:eastAsia="方正仿宋_GBK" w:cs="方正仿宋_GBK"/>
          <w:bCs/>
          <w:color w:val="auto"/>
          <w:sz w:val="24"/>
          <w:szCs w:val="24"/>
          <w:lang w:eastAsia="zh-CN"/>
        </w:rPr>
        <w:t>商务要求</w:t>
      </w:r>
      <w:r>
        <w:rPr>
          <w:color w:val="auto"/>
          <w:sz w:val="24"/>
          <w:szCs w:val="24"/>
        </w:rPr>
        <w:tab/>
      </w:r>
      <w:r>
        <w:rPr>
          <w:color w:val="auto"/>
          <w:sz w:val="24"/>
          <w:szCs w:val="24"/>
        </w:rPr>
        <w:fldChar w:fldCharType="begin"/>
      </w:r>
      <w:r>
        <w:rPr>
          <w:color w:val="auto"/>
          <w:sz w:val="24"/>
          <w:szCs w:val="24"/>
        </w:rPr>
        <w:instrText xml:space="preserve"> PAGEREF _Toc1171250400 </w:instrText>
      </w:r>
      <w:r>
        <w:rPr>
          <w:color w:val="auto"/>
          <w:sz w:val="24"/>
          <w:szCs w:val="24"/>
        </w:rPr>
        <w:fldChar w:fldCharType="separate"/>
      </w:r>
      <w:r>
        <w:rPr>
          <w:color w:val="auto"/>
          <w:sz w:val="24"/>
          <w:szCs w:val="24"/>
        </w:rPr>
        <w:t>11</w:t>
      </w:r>
      <w:r>
        <w:rPr>
          <w:color w:val="auto"/>
          <w:sz w:val="24"/>
          <w:szCs w:val="24"/>
        </w:rPr>
        <w:fldChar w:fldCharType="end"/>
      </w:r>
      <w:r>
        <w:rPr>
          <w:rFonts w:hint="eastAsia" w:ascii="方正仿宋_GBK" w:hAnsi="方正仿宋_GBK" w:eastAsia="方正仿宋_GBK" w:cs="方正仿宋_GBK"/>
          <w:color w:val="auto"/>
          <w:sz w:val="24"/>
          <w:szCs w:val="24"/>
          <w:lang w:eastAsia="zh-CN"/>
        </w:rPr>
        <w:fldChar w:fldCharType="end"/>
      </w:r>
    </w:p>
    <w:p w14:paraId="2EBF6A52">
      <w:pPr>
        <w:pStyle w:val="12"/>
        <w:tabs>
          <w:tab w:val="right" w:leader="dot" w:pos="9071"/>
        </w:tabs>
        <w:rPr>
          <w:color w:val="auto"/>
          <w:sz w:val="24"/>
          <w:szCs w:val="24"/>
        </w:rPr>
      </w:pPr>
      <w:r>
        <w:rPr>
          <w:rFonts w:hint="eastAsia" w:ascii="方正仿宋_GBK" w:hAnsi="方正仿宋_GBK" w:eastAsia="方正仿宋_GBK" w:cs="方正仿宋_GBK"/>
          <w:color w:val="auto"/>
          <w:sz w:val="24"/>
          <w:szCs w:val="24"/>
          <w:lang w:eastAsia="zh-CN"/>
        </w:rPr>
        <w:fldChar w:fldCharType="begin"/>
      </w:r>
      <w:r>
        <w:rPr>
          <w:rFonts w:hint="eastAsia" w:ascii="方正仿宋_GBK" w:hAnsi="方正仿宋_GBK" w:eastAsia="方正仿宋_GBK" w:cs="方正仿宋_GBK"/>
          <w:color w:val="auto"/>
          <w:sz w:val="24"/>
          <w:szCs w:val="24"/>
          <w:lang w:eastAsia="zh-CN"/>
        </w:rPr>
        <w:instrText xml:space="preserve"> HYPERLINK \l _Toc615701431 </w:instrText>
      </w:r>
      <w:r>
        <w:rPr>
          <w:rFonts w:hint="eastAsia" w:ascii="方正仿宋_GBK" w:hAnsi="方正仿宋_GBK" w:eastAsia="方正仿宋_GBK" w:cs="方正仿宋_GBK"/>
          <w:color w:val="auto"/>
          <w:sz w:val="24"/>
          <w:szCs w:val="24"/>
          <w:lang w:eastAsia="zh-CN"/>
        </w:rPr>
        <w:fldChar w:fldCharType="separate"/>
      </w:r>
      <w:r>
        <w:rPr>
          <w:rFonts w:hint="eastAsia" w:ascii="方正仿宋_GBK" w:hAnsi="方正仿宋_GBK" w:eastAsia="方正仿宋_GBK" w:cs="方正仿宋_GBK"/>
          <w:bCs/>
          <w:color w:val="auto"/>
          <w:sz w:val="24"/>
          <w:szCs w:val="24"/>
        </w:rPr>
        <w:t>第</w:t>
      </w:r>
      <w:r>
        <w:rPr>
          <w:rFonts w:hint="eastAsia" w:ascii="方正仿宋_GBK" w:hAnsi="方正仿宋_GBK" w:eastAsia="方正仿宋_GBK" w:cs="方正仿宋_GBK"/>
          <w:bCs/>
          <w:color w:val="auto"/>
          <w:sz w:val="24"/>
          <w:szCs w:val="24"/>
          <w:lang w:eastAsia="zh-CN"/>
        </w:rPr>
        <w:t>四</w:t>
      </w:r>
      <w:r>
        <w:rPr>
          <w:rFonts w:hint="eastAsia" w:ascii="方正仿宋_GBK" w:hAnsi="方正仿宋_GBK" w:eastAsia="方正仿宋_GBK" w:cs="方正仿宋_GBK"/>
          <w:bCs/>
          <w:color w:val="auto"/>
          <w:sz w:val="24"/>
          <w:szCs w:val="24"/>
        </w:rPr>
        <w:t>部分</w:t>
      </w:r>
      <w:r>
        <w:rPr>
          <w:rFonts w:hint="eastAsia" w:ascii="方正仿宋_GBK" w:hAnsi="方正仿宋_GBK" w:eastAsia="方正仿宋_GBK" w:cs="方正仿宋_GBK"/>
          <w:bCs/>
          <w:color w:val="auto"/>
          <w:sz w:val="24"/>
          <w:szCs w:val="24"/>
          <w:lang w:val="en-US" w:eastAsia="zh-CN"/>
        </w:rPr>
        <w:t xml:space="preserve">  </w:t>
      </w:r>
      <w:r>
        <w:rPr>
          <w:rFonts w:hint="eastAsia" w:ascii="方正仿宋_GBK" w:hAnsi="方正仿宋_GBK" w:eastAsia="方正仿宋_GBK" w:cs="方正仿宋_GBK"/>
          <w:bCs/>
          <w:color w:val="auto"/>
          <w:sz w:val="24"/>
          <w:szCs w:val="24"/>
        </w:rPr>
        <w:t>评分标准</w:t>
      </w:r>
      <w:r>
        <w:rPr>
          <w:color w:val="auto"/>
          <w:sz w:val="24"/>
          <w:szCs w:val="24"/>
        </w:rPr>
        <w:tab/>
      </w:r>
      <w:r>
        <w:rPr>
          <w:color w:val="auto"/>
          <w:sz w:val="24"/>
          <w:szCs w:val="24"/>
        </w:rPr>
        <w:fldChar w:fldCharType="begin"/>
      </w:r>
      <w:r>
        <w:rPr>
          <w:color w:val="auto"/>
          <w:sz w:val="24"/>
          <w:szCs w:val="24"/>
        </w:rPr>
        <w:instrText xml:space="preserve"> PAGEREF _Toc615701431 </w:instrText>
      </w:r>
      <w:r>
        <w:rPr>
          <w:color w:val="auto"/>
          <w:sz w:val="24"/>
          <w:szCs w:val="24"/>
        </w:rPr>
        <w:fldChar w:fldCharType="separate"/>
      </w:r>
      <w:r>
        <w:rPr>
          <w:color w:val="auto"/>
          <w:sz w:val="24"/>
          <w:szCs w:val="24"/>
        </w:rPr>
        <w:t>12</w:t>
      </w:r>
      <w:r>
        <w:rPr>
          <w:color w:val="auto"/>
          <w:sz w:val="24"/>
          <w:szCs w:val="24"/>
        </w:rPr>
        <w:fldChar w:fldCharType="end"/>
      </w:r>
      <w:r>
        <w:rPr>
          <w:rFonts w:hint="eastAsia" w:ascii="方正仿宋_GBK" w:hAnsi="方正仿宋_GBK" w:eastAsia="方正仿宋_GBK" w:cs="方正仿宋_GBK"/>
          <w:color w:val="auto"/>
          <w:sz w:val="24"/>
          <w:szCs w:val="24"/>
          <w:lang w:eastAsia="zh-CN"/>
        </w:rPr>
        <w:fldChar w:fldCharType="end"/>
      </w:r>
    </w:p>
    <w:p w14:paraId="74EC6B98">
      <w:pPr>
        <w:pStyle w:val="12"/>
        <w:tabs>
          <w:tab w:val="right" w:leader="dot" w:pos="9071"/>
        </w:tabs>
        <w:rPr>
          <w:color w:val="auto"/>
          <w:sz w:val="24"/>
          <w:szCs w:val="24"/>
        </w:rPr>
      </w:pPr>
      <w:r>
        <w:rPr>
          <w:rFonts w:hint="eastAsia" w:ascii="方正仿宋_GBK" w:hAnsi="方正仿宋_GBK" w:eastAsia="方正仿宋_GBK" w:cs="方正仿宋_GBK"/>
          <w:color w:val="auto"/>
          <w:sz w:val="24"/>
          <w:szCs w:val="24"/>
          <w:lang w:eastAsia="zh-CN"/>
        </w:rPr>
        <w:fldChar w:fldCharType="begin"/>
      </w:r>
      <w:r>
        <w:rPr>
          <w:rFonts w:hint="eastAsia" w:ascii="方正仿宋_GBK" w:hAnsi="方正仿宋_GBK" w:eastAsia="方正仿宋_GBK" w:cs="方正仿宋_GBK"/>
          <w:color w:val="auto"/>
          <w:sz w:val="24"/>
          <w:szCs w:val="24"/>
          <w:lang w:eastAsia="zh-CN"/>
        </w:rPr>
        <w:instrText xml:space="preserve"> HYPERLINK \l _Toc837539241 </w:instrText>
      </w:r>
      <w:r>
        <w:rPr>
          <w:rFonts w:hint="eastAsia" w:ascii="方正仿宋_GBK" w:hAnsi="方正仿宋_GBK" w:eastAsia="方正仿宋_GBK" w:cs="方正仿宋_GBK"/>
          <w:color w:val="auto"/>
          <w:sz w:val="24"/>
          <w:szCs w:val="24"/>
          <w:lang w:eastAsia="zh-CN"/>
        </w:rPr>
        <w:fldChar w:fldCharType="separate"/>
      </w:r>
      <w:r>
        <w:rPr>
          <w:rFonts w:hint="eastAsia" w:ascii="方正仿宋_GBK" w:hAnsi="方正仿宋_GBK" w:eastAsia="方正仿宋_GBK" w:cs="方正仿宋_GBK"/>
          <w:bCs/>
          <w:color w:val="auto"/>
          <w:sz w:val="24"/>
          <w:szCs w:val="24"/>
        </w:rPr>
        <w:t>第</w:t>
      </w:r>
      <w:r>
        <w:rPr>
          <w:rFonts w:hint="eastAsia" w:ascii="方正仿宋_GBK" w:hAnsi="方正仿宋_GBK" w:eastAsia="方正仿宋_GBK" w:cs="方正仿宋_GBK"/>
          <w:bCs/>
          <w:color w:val="auto"/>
          <w:sz w:val="24"/>
          <w:szCs w:val="24"/>
          <w:lang w:eastAsia="zh-CN"/>
        </w:rPr>
        <w:t>五</w:t>
      </w:r>
      <w:r>
        <w:rPr>
          <w:rFonts w:hint="eastAsia" w:ascii="方正仿宋_GBK" w:hAnsi="方正仿宋_GBK" w:eastAsia="方正仿宋_GBK" w:cs="方正仿宋_GBK"/>
          <w:bCs/>
          <w:color w:val="auto"/>
          <w:sz w:val="24"/>
          <w:szCs w:val="24"/>
        </w:rPr>
        <w:t>部分  响应文件格式</w:t>
      </w:r>
      <w:r>
        <w:rPr>
          <w:color w:val="auto"/>
          <w:sz w:val="24"/>
          <w:szCs w:val="24"/>
        </w:rPr>
        <w:tab/>
      </w:r>
      <w:r>
        <w:rPr>
          <w:color w:val="auto"/>
          <w:sz w:val="24"/>
          <w:szCs w:val="24"/>
        </w:rPr>
        <w:fldChar w:fldCharType="begin"/>
      </w:r>
      <w:r>
        <w:rPr>
          <w:color w:val="auto"/>
          <w:sz w:val="24"/>
          <w:szCs w:val="24"/>
        </w:rPr>
        <w:instrText xml:space="preserve"> PAGEREF _Toc837539241 </w:instrText>
      </w:r>
      <w:r>
        <w:rPr>
          <w:color w:val="auto"/>
          <w:sz w:val="24"/>
          <w:szCs w:val="24"/>
        </w:rPr>
        <w:fldChar w:fldCharType="separate"/>
      </w:r>
      <w:r>
        <w:rPr>
          <w:color w:val="auto"/>
          <w:sz w:val="24"/>
          <w:szCs w:val="24"/>
        </w:rPr>
        <w:t>14</w:t>
      </w:r>
      <w:r>
        <w:rPr>
          <w:color w:val="auto"/>
          <w:sz w:val="24"/>
          <w:szCs w:val="24"/>
        </w:rPr>
        <w:fldChar w:fldCharType="end"/>
      </w:r>
      <w:r>
        <w:rPr>
          <w:rFonts w:hint="eastAsia" w:ascii="方正仿宋_GBK" w:hAnsi="方正仿宋_GBK" w:eastAsia="方正仿宋_GBK" w:cs="方正仿宋_GBK"/>
          <w:color w:val="auto"/>
          <w:sz w:val="24"/>
          <w:szCs w:val="24"/>
          <w:lang w:eastAsia="zh-CN"/>
        </w:rPr>
        <w:fldChar w:fldCharType="end"/>
      </w:r>
    </w:p>
    <w:p w14:paraId="5AA24CF3">
      <w:pPr>
        <w:pStyle w:val="12"/>
        <w:tabs>
          <w:tab w:val="right" w:leader="dot" w:pos="9071"/>
        </w:tabs>
        <w:rPr>
          <w:color w:val="auto"/>
          <w:sz w:val="24"/>
          <w:szCs w:val="24"/>
        </w:rPr>
      </w:pPr>
      <w:r>
        <w:rPr>
          <w:rFonts w:hint="eastAsia" w:ascii="方正仿宋_GBK" w:hAnsi="方正仿宋_GBK" w:eastAsia="方正仿宋_GBK" w:cs="方正仿宋_GBK"/>
          <w:color w:val="auto"/>
          <w:sz w:val="24"/>
          <w:szCs w:val="24"/>
          <w:lang w:eastAsia="zh-CN"/>
        </w:rPr>
        <w:fldChar w:fldCharType="begin"/>
      </w:r>
      <w:r>
        <w:rPr>
          <w:rFonts w:hint="eastAsia" w:ascii="方正仿宋_GBK" w:hAnsi="方正仿宋_GBK" w:eastAsia="方正仿宋_GBK" w:cs="方正仿宋_GBK"/>
          <w:color w:val="auto"/>
          <w:sz w:val="24"/>
          <w:szCs w:val="24"/>
          <w:lang w:eastAsia="zh-CN"/>
        </w:rPr>
        <w:instrText xml:space="preserve"> HYPERLINK \l _Toc536013382 </w:instrText>
      </w:r>
      <w:r>
        <w:rPr>
          <w:rFonts w:hint="eastAsia" w:ascii="方正仿宋_GBK" w:hAnsi="方正仿宋_GBK" w:eastAsia="方正仿宋_GBK" w:cs="方正仿宋_GBK"/>
          <w:color w:val="auto"/>
          <w:sz w:val="24"/>
          <w:szCs w:val="24"/>
          <w:lang w:eastAsia="zh-CN"/>
        </w:rPr>
        <w:fldChar w:fldCharType="separate"/>
      </w:r>
      <w:r>
        <w:rPr>
          <w:rFonts w:hint="eastAsia" w:ascii="方正仿宋_GBK" w:hAnsi="方正仿宋_GBK" w:eastAsia="方正仿宋_GBK" w:cs="方正仿宋_GBK"/>
          <w:bCs/>
          <w:color w:val="auto"/>
          <w:sz w:val="24"/>
          <w:szCs w:val="24"/>
        </w:rPr>
        <w:t>第</w:t>
      </w:r>
      <w:r>
        <w:rPr>
          <w:rFonts w:hint="eastAsia" w:ascii="方正仿宋_GBK" w:hAnsi="方正仿宋_GBK" w:eastAsia="方正仿宋_GBK" w:cs="方正仿宋_GBK"/>
          <w:bCs/>
          <w:color w:val="auto"/>
          <w:sz w:val="24"/>
          <w:szCs w:val="24"/>
          <w:lang w:eastAsia="zh-CN"/>
        </w:rPr>
        <w:t>六</w:t>
      </w:r>
      <w:r>
        <w:rPr>
          <w:rFonts w:hint="eastAsia" w:ascii="方正仿宋_GBK" w:hAnsi="方正仿宋_GBK" w:eastAsia="方正仿宋_GBK" w:cs="方正仿宋_GBK"/>
          <w:bCs/>
          <w:color w:val="auto"/>
          <w:sz w:val="24"/>
          <w:szCs w:val="24"/>
        </w:rPr>
        <w:t>部分  合同文本</w:t>
      </w:r>
      <w:r>
        <w:rPr>
          <w:color w:val="auto"/>
          <w:sz w:val="24"/>
          <w:szCs w:val="24"/>
        </w:rPr>
        <w:tab/>
      </w:r>
      <w:r>
        <w:rPr>
          <w:color w:val="auto"/>
          <w:sz w:val="24"/>
          <w:szCs w:val="24"/>
        </w:rPr>
        <w:fldChar w:fldCharType="begin"/>
      </w:r>
      <w:r>
        <w:rPr>
          <w:color w:val="auto"/>
          <w:sz w:val="24"/>
          <w:szCs w:val="24"/>
        </w:rPr>
        <w:instrText xml:space="preserve"> PAGEREF _Toc536013382 </w:instrText>
      </w:r>
      <w:r>
        <w:rPr>
          <w:color w:val="auto"/>
          <w:sz w:val="24"/>
          <w:szCs w:val="24"/>
        </w:rPr>
        <w:fldChar w:fldCharType="separate"/>
      </w:r>
      <w:r>
        <w:rPr>
          <w:color w:val="auto"/>
          <w:sz w:val="24"/>
          <w:szCs w:val="24"/>
        </w:rPr>
        <w:t>28</w:t>
      </w:r>
      <w:r>
        <w:rPr>
          <w:color w:val="auto"/>
          <w:sz w:val="24"/>
          <w:szCs w:val="24"/>
        </w:rPr>
        <w:fldChar w:fldCharType="end"/>
      </w:r>
      <w:r>
        <w:rPr>
          <w:rFonts w:hint="eastAsia" w:ascii="方正仿宋_GBK" w:hAnsi="方正仿宋_GBK" w:eastAsia="方正仿宋_GBK" w:cs="方正仿宋_GBK"/>
          <w:color w:val="auto"/>
          <w:sz w:val="24"/>
          <w:szCs w:val="24"/>
          <w:lang w:eastAsia="zh-CN"/>
        </w:rPr>
        <w:fldChar w:fldCharType="end"/>
      </w:r>
    </w:p>
    <w:p w14:paraId="61FC2029">
      <w:pPr>
        <w:pStyle w:val="12"/>
        <w:keepNext w:val="0"/>
        <w:keepLines w:val="0"/>
        <w:pageBreakBefore w:val="0"/>
        <w:widowControl w:val="0"/>
        <w:tabs>
          <w:tab w:val="right" w:leader="dot" w:pos="9061"/>
        </w:tabs>
        <w:kinsoku/>
        <w:wordWrap/>
        <w:overflowPunct/>
        <w:topLinePunct w:val="0"/>
        <w:autoSpaceDE w:val="0"/>
        <w:autoSpaceDN w:val="0"/>
        <w:bidi w:val="0"/>
        <w:adjustRightInd/>
        <w:snapToGrid/>
        <w:spacing w:line="260" w:lineRule="exact"/>
        <w:ind w:left="193"/>
        <w:textAlignment w:val="auto"/>
        <w:rPr>
          <w:rFonts w:hint="eastAsia" w:ascii="方正仿宋_GBK" w:hAnsi="方正仿宋_GBK" w:eastAsia="方正仿宋_GBK" w:cs="方正仿宋_GBK"/>
          <w:b/>
          <w:color w:val="auto"/>
          <w:lang w:eastAsia="zh-CN"/>
        </w:rPr>
        <w:sectPr>
          <w:pgSz w:w="11907" w:h="16840"/>
          <w:pgMar w:top="1304" w:right="1418" w:bottom="1247" w:left="1418" w:header="851" w:footer="992" w:gutter="0"/>
          <w:pgNumType w:fmt="decimal"/>
          <w:cols w:space="720" w:num="1"/>
        </w:sectPr>
      </w:pPr>
      <w:r>
        <w:rPr>
          <w:rFonts w:hint="eastAsia" w:ascii="方正仿宋_GBK" w:hAnsi="方正仿宋_GBK" w:eastAsia="方正仿宋_GBK" w:cs="方正仿宋_GBK"/>
          <w:color w:val="auto"/>
          <w:sz w:val="24"/>
          <w:szCs w:val="24"/>
          <w:lang w:eastAsia="zh-CN"/>
        </w:rPr>
        <w:fldChar w:fldCharType="end"/>
      </w:r>
      <w:bookmarkEnd w:id="0"/>
      <w:bookmarkEnd w:id="1"/>
      <w:bookmarkEnd w:id="2"/>
      <w:bookmarkEnd w:id="3"/>
      <w:bookmarkEnd w:id="4"/>
      <w:bookmarkStart w:id="5" w:name="_Toc89075871"/>
      <w:bookmarkStart w:id="6" w:name="_Toc183582202"/>
      <w:bookmarkStart w:id="7" w:name="_Toc213396759"/>
      <w:bookmarkStart w:id="8" w:name="_Toc387242469"/>
      <w:bookmarkStart w:id="9" w:name="_Toc77400776"/>
      <w:bookmarkStart w:id="10" w:name="_Toc213397009"/>
      <w:bookmarkStart w:id="11" w:name="_Toc217446031"/>
      <w:bookmarkStart w:id="12" w:name="_Toc213496267"/>
      <w:bookmarkStart w:id="13" w:name="_Toc183682339"/>
      <w:bookmarkStart w:id="14" w:name="_Toc213396945"/>
    </w:p>
    <w:p w14:paraId="57217834">
      <w:pPr>
        <w:pStyle w:val="2"/>
        <w:spacing w:line="240" w:lineRule="auto"/>
        <w:jc w:val="center"/>
        <w:rPr>
          <w:rFonts w:hint="eastAsia" w:ascii="方正仿宋_GBK" w:hAnsi="方正仿宋_GBK" w:eastAsia="方正仿宋_GBK" w:cs="方正仿宋_GBK"/>
          <w:bCs/>
          <w:color w:val="auto"/>
          <w:sz w:val="36"/>
          <w:szCs w:val="36"/>
        </w:rPr>
      </w:pPr>
      <w:bookmarkStart w:id="15" w:name="_Toc1013556471"/>
      <w:bookmarkStart w:id="16" w:name="_Toc104383958"/>
      <w:r>
        <w:rPr>
          <w:rFonts w:hint="eastAsia" w:ascii="方正仿宋_GBK" w:hAnsi="方正仿宋_GBK" w:eastAsia="方正仿宋_GBK" w:cs="方正仿宋_GBK"/>
          <w:bCs/>
          <w:color w:val="auto"/>
          <w:sz w:val="36"/>
          <w:szCs w:val="36"/>
        </w:rPr>
        <w:t>第一部分  竞争性磋商公告</w:t>
      </w:r>
      <w:bookmarkEnd w:id="15"/>
      <w:bookmarkEnd w:id="16"/>
    </w:p>
    <w:bookmarkEnd w:id="5"/>
    <w:bookmarkEnd w:id="6"/>
    <w:bookmarkEnd w:id="7"/>
    <w:bookmarkEnd w:id="8"/>
    <w:bookmarkEnd w:id="9"/>
    <w:bookmarkEnd w:id="10"/>
    <w:bookmarkEnd w:id="11"/>
    <w:bookmarkEnd w:id="12"/>
    <w:bookmarkEnd w:id="13"/>
    <w:bookmarkEnd w:id="14"/>
    <w:p w14:paraId="528A65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eastAsia="zh-CN"/>
        </w:rPr>
      </w:pPr>
      <w:r>
        <w:rPr>
          <w:rFonts w:hint="eastAsia" w:asciiTheme="minorEastAsia" w:hAnsiTheme="minorEastAsia" w:eastAsiaTheme="minorEastAsia" w:cstheme="minorEastAsia"/>
          <w:color w:val="auto"/>
          <w:kern w:val="0"/>
          <w:szCs w:val="24"/>
          <w:lang w:eastAsia="zh-CN"/>
        </w:rPr>
        <w:t>达州市水务局（以下简称“采购人”）以竞争性磋商方式，为“</w:t>
      </w:r>
      <w:r>
        <w:rPr>
          <w:rFonts w:hint="eastAsia" w:asciiTheme="minorEastAsia" w:hAnsiTheme="minorEastAsia" w:cstheme="minorEastAsia"/>
          <w:color w:val="auto"/>
          <w:kern w:val="0"/>
          <w:szCs w:val="24"/>
          <w:lang w:eastAsia="zh-CN"/>
        </w:rPr>
        <w:t>达州市水土保持监测站2025年度运行技术服务</w:t>
      </w:r>
      <w:r>
        <w:rPr>
          <w:rFonts w:hint="eastAsia" w:asciiTheme="minorEastAsia" w:hAnsiTheme="minorEastAsia" w:eastAsiaTheme="minorEastAsia" w:cstheme="minorEastAsia"/>
          <w:color w:val="auto"/>
          <w:kern w:val="0"/>
          <w:szCs w:val="24"/>
          <w:lang w:eastAsia="zh-CN"/>
        </w:rPr>
        <w:t>”选择合格的供应商。</w:t>
      </w:r>
    </w:p>
    <w:p w14:paraId="47E4FB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eastAsia="zh-CN"/>
        </w:rPr>
      </w:pPr>
      <w:r>
        <w:rPr>
          <w:rFonts w:hint="eastAsia" w:asciiTheme="minorEastAsia" w:hAnsiTheme="minorEastAsia" w:eastAsiaTheme="minorEastAsia" w:cstheme="minorEastAsia"/>
          <w:color w:val="auto"/>
          <w:kern w:val="0"/>
          <w:szCs w:val="24"/>
          <w:lang w:eastAsia="zh-CN"/>
        </w:rPr>
        <w:t>一、项目概况：</w:t>
      </w:r>
    </w:p>
    <w:p w14:paraId="7EAC15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eastAsia="zh-CN"/>
        </w:rPr>
      </w:pPr>
      <w:r>
        <w:rPr>
          <w:rFonts w:hint="eastAsia" w:asciiTheme="minorEastAsia" w:hAnsiTheme="minorEastAsia" w:eastAsiaTheme="minorEastAsia" w:cstheme="minorEastAsia"/>
          <w:color w:val="auto"/>
          <w:kern w:val="0"/>
          <w:szCs w:val="24"/>
          <w:lang w:eastAsia="zh-CN"/>
        </w:rPr>
        <w:t>1.项目名称：</w:t>
      </w:r>
      <w:r>
        <w:rPr>
          <w:rFonts w:hint="eastAsia" w:asciiTheme="minorEastAsia" w:hAnsiTheme="minorEastAsia" w:cstheme="minorEastAsia"/>
          <w:color w:val="auto"/>
          <w:kern w:val="0"/>
          <w:szCs w:val="24"/>
          <w:lang w:eastAsia="zh-CN"/>
        </w:rPr>
        <w:t>达州市水土保持监测站2025年度运行技术服务</w:t>
      </w:r>
      <w:r>
        <w:rPr>
          <w:rFonts w:hint="eastAsia" w:asciiTheme="minorEastAsia" w:hAnsiTheme="minorEastAsia" w:eastAsiaTheme="minorEastAsia" w:cstheme="minorEastAsia"/>
          <w:color w:val="auto"/>
          <w:kern w:val="0"/>
          <w:szCs w:val="24"/>
          <w:lang w:eastAsia="zh-CN"/>
        </w:rPr>
        <w:t>。</w:t>
      </w:r>
    </w:p>
    <w:p w14:paraId="41379E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eastAsia="zh-CN"/>
        </w:rPr>
        <w:t>2.</w:t>
      </w:r>
      <w:r>
        <w:rPr>
          <w:rFonts w:hint="eastAsia" w:asciiTheme="minorEastAsia" w:hAnsiTheme="minorEastAsia" w:cstheme="minorEastAsia"/>
          <w:color w:val="auto"/>
          <w:kern w:val="0"/>
          <w:szCs w:val="24"/>
          <w:lang w:val="en-US" w:eastAsia="zh-CN"/>
        </w:rPr>
        <w:t>服务范围</w:t>
      </w:r>
      <w:r>
        <w:rPr>
          <w:rFonts w:hint="eastAsia" w:asciiTheme="minorEastAsia" w:hAnsiTheme="minorEastAsia" w:eastAsiaTheme="minorEastAsia" w:cstheme="minorEastAsia"/>
          <w:color w:val="auto"/>
          <w:kern w:val="0"/>
          <w:szCs w:val="24"/>
          <w:lang w:eastAsia="zh-CN"/>
        </w:rPr>
        <w:t>：</w:t>
      </w:r>
      <w:r>
        <w:rPr>
          <w:rFonts w:hint="default" w:asciiTheme="minorEastAsia" w:hAnsiTheme="minorEastAsia" w:cstheme="minorEastAsia"/>
          <w:color w:val="auto"/>
          <w:kern w:val="0"/>
          <w:szCs w:val="24"/>
          <w:lang w:val="en-US" w:eastAsia="zh-CN"/>
        </w:rPr>
        <w:t>达州市水土保持监测站坡面径流观测场5个径流小区进行2025年1~12月水土流失监测及值守工作</w:t>
      </w:r>
      <w:r>
        <w:rPr>
          <w:rFonts w:hint="eastAsia" w:asciiTheme="minorEastAsia" w:hAnsiTheme="minorEastAsia" w:cstheme="minorEastAsia"/>
          <w:color w:val="auto"/>
          <w:kern w:val="0"/>
          <w:szCs w:val="24"/>
          <w:lang w:val="en-US" w:eastAsia="zh-CN"/>
        </w:rPr>
        <w:t>。</w:t>
      </w:r>
    </w:p>
    <w:p w14:paraId="1E65A6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仿宋_GB2312" w:cs="Times New Roman"/>
          <w:b w:val="0"/>
          <w:bCs w:val="0"/>
          <w:color w:val="auto"/>
          <w:kern w:val="0"/>
          <w:sz w:val="32"/>
          <w:szCs w:val="32"/>
          <w:lang w:eastAsia="zh-CN"/>
        </w:rPr>
      </w:pPr>
      <w:r>
        <w:rPr>
          <w:rFonts w:hint="eastAsia" w:asciiTheme="minorEastAsia" w:hAnsiTheme="minorEastAsia" w:eastAsiaTheme="minorEastAsia" w:cstheme="minorEastAsia"/>
          <w:color w:val="auto"/>
          <w:kern w:val="0"/>
          <w:szCs w:val="24"/>
          <w:lang w:val="en-US" w:eastAsia="zh-CN"/>
        </w:rPr>
        <w:t>3</w:t>
      </w:r>
      <w:r>
        <w:rPr>
          <w:rFonts w:hint="eastAsia" w:asciiTheme="minorEastAsia" w:hAnsiTheme="minorEastAsia" w:eastAsiaTheme="minorEastAsia" w:cstheme="minorEastAsia"/>
          <w:color w:val="auto"/>
          <w:kern w:val="0"/>
          <w:szCs w:val="24"/>
          <w:lang w:eastAsia="zh-CN"/>
        </w:rPr>
        <w:t>.</w:t>
      </w:r>
      <w:r>
        <w:rPr>
          <w:rFonts w:hint="eastAsia" w:asciiTheme="minorEastAsia" w:hAnsiTheme="minorEastAsia" w:cstheme="minorEastAsia"/>
          <w:color w:val="auto"/>
          <w:kern w:val="0"/>
          <w:szCs w:val="24"/>
          <w:lang w:val="en-US" w:eastAsia="zh-CN"/>
        </w:rPr>
        <w:t>服务内容</w:t>
      </w:r>
      <w:r>
        <w:rPr>
          <w:rFonts w:hint="eastAsia" w:asciiTheme="minorEastAsia" w:hAnsiTheme="minorEastAsia" w:eastAsiaTheme="minorEastAsia" w:cstheme="minorEastAsia"/>
          <w:color w:val="auto"/>
          <w:kern w:val="0"/>
          <w:szCs w:val="24"/>
          <w:lang w:eastAsia="zh-CN"/>
        </w:rPr>
        <w:t>：</w:t>
      </w:r>
      <w:r>
        <w:rPr>
          <w:rFonts w:hint="default" w:asciiTheme="minorEastAsia" w:hAnsiTheme="minorEastAsia" w:eastAsiaTheme="minorEastAsia" w:cstheme="minorEastAsia"/>
          <w:color w:val="auto"/>
          <w:kern w:val="0"/>
          <w:szCs w:val="24"/>
          <w:lang w:val="en-US" w:eastAsia="zh-CN"/>
        </w:rPr>
        <w:t>1、全年24小时值守工作（包括日常物品管理、环境卫生打扫、设备安全管理等)。2、完成涉及水土流失监测的逐日降水量、径流小区田间管理、泥沙采样、植被郁闭度/盖度和土壤水分(TDR法)、小区径流泥沙计算、径流小区土壤水分(TDR法)计算、径流小区测产等水土流失监测相关指标。3、将每月水土流失监测资料电子文档在次月7号前上报达州市水务局，按要求录入平台系统，并通过上级主管部门审核。4、按照四川省水土保持生态环境监测总站要求完成年度监测数据资料整编，并报达州市水务局备案。5、配合达州市水务局参加四川省水土保持生态环境监测总站组织的现场监测参观学习和资料整编培训。</w:t>
      </w:r>
    </w:p>
    <w:p w14:paraId="29DD35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eastAsia="zh-CN"/>
        </w:rPr>
      </w:pPr>
      <w:r>
        <w:rPr>
          <w:rFonts w:hint="eastAsia" w:asciiTheme="minorEastAsia" w:hAnsiTheme="minorEastAsia" w:cstheme="minorEastAsia"/>
          <w:color w:val="auto"/>
          <w:kern w:val="0"/>
          <w:szCs w:val="24"/>
          <w:lang w:val="en-US" w:eastAsia="zh-CN"/>
        </w:rPr>
        <w:t>4.</w:t>
      </w:r>
      <w:r>
        <w:rPr>
          <w:rFonts w:hint="eastAsia" w:asciiTheme="minorEastAsia" w:hAnsiTheme="minorEastAsia" w:eastAsiaTheme="minorEastAsia" w:cstheme="minorEastAsia"/>
          <w:color w:val="auto"/>
          <w:kern w:val="0"/>
          <w:szCs w:val="24"/>
          <w:lang w:eastAsia="zh-CN"/>
        </w:rPr>
        <w:t>项目预算金额</w:t>
      </w:r>
      <w:r>
        <w:rPr>
          <w:rFonts w:hint="eastAsia" w:asciiTheme="minorEastAsia" w:hAnsiTheme="minorEastAsia" w:eastAsiaTheme="minorEastAsia" w:cstheme="minorEastAsia"/>
          <w:color w:val="auto"/>
          <w:kern w:val="0"/>
          <w:szCs w:val="24"/>
          <w:lang w:val="en-US" w:eastAsia="zh-CN"/>
        </w:rPr>
        <w:t>：人民币</w:t>
      </w:r>
      <w:r>
        <w:rPr>
          <w:rFonts w:hint="eastAsia" w:asciiTheme="minorEastAsia" w:hAnsiTheme="minorEastAsia" w:cstheme="minorEastAsia"/>
          <w:color w:val="auto"/>
          <w:kern w:val="0"/>
          <w:szCs w:val="24"/>
          <w:lang w:val="en-US" w:eastAsia="zh-CN"/>
        </w:rPr>
        <w:t>11.60</w:t>
      </w:r>
      <w:r>
        <w:rPr>
          <w:rFonts w:hint="eastAsia" w:asciiTheme="minorEastAsia" w:hAnsiTheme="minorEastAsia" w:eastAsiaTheme="minorEastAsia" w:cstheme="minorEastAsia"/>
          <w:color w:val="auto"/>
          <w:kern w:val="0"/>
          <w:szCs w:val="24"/>
          <w:lang w:val="en-US" w:eastAsia="zh-CN"/>
        </w:rPr>
        <w:t>万元，大写：</w:t>
      </w:r>
      <w:r>
        <w:rPr>
          <w:rFonts w:hint="eastAsia" w:asciiTheme="minorEastAsia" w:hAnsiTheme="minorEastAsia" w:cstheme="minorEastAsia"/>
          <w:color w:val="auto"/>
          <w:kern w:val="0"/>
          <w:szCs w:val="24"/>
          <w:lang w:val="en-US" w:eastAsia="zh-CN"/>
        </w:rPr>
        <w:t>壹</w:t>
      </w:r>
      <w:r>
        <w:rPr>
          <w:rFonts w:hint="eastAsia" w:asciiTheme="minorEastAsia" w:hAnsiTheme="minorEastAsia" w:eastAsiaTheme="minorEastAsia" w:cstheme="minorEastAsia"/>
          <w:color w:val="auto"/>
          <w:kern w:val="0"/>
          <w:szCs w:val="24"/>
          <w:lang w:val="en-US" w:eastAsia="zh-CN"/>
        </w:rPr>
        <w:t>拾</w:t>
      </w:r>
      <w:r>
        <w:rPr>
          <w:rFonts w:hint="eastAsia" w:asciiTheme="minorEastAsia" w:hAnsiTheme="minorEastAsia" w:cstheme="minorEastAsia"/>
          <w:color w:val="auto"/>
          <w:kern w:val="0"/>
          <w:szCs w:val="24"/>
          <w:lang w:val="en-US" w:eastAsia="zh-CN"/>
        </w:rPr>
        <w:t>壹</w:t>
      </w:r>
      <w:r>
        <w:rPr>
          <w:rFonts w:hint="eastAsia" w:asciiTheme="minorEastAsia" w:hAnsiTheme="minorEastAsia" w:eastAsiaTheme="minorEastAsia" w:cstheme="minorEastAsia"/>
          <w:color w:val="auto"/>
          <w:kern w:val="0"/>
          <w:szCs w:val="24"/>
          <w:lang w:val="en-US" w:eastAsia="zh-CN"/>
        </w:rPr>
        <w:t>万</w:t>
      </w:r>
      <w:r>
        <w:rPr>
          <w:rFonts w:hint="eastAsia" w:asciiTheme="minorEastAsia" w:hAnsiTheme="minorEastAsia" w:cstheme="minorEastAsia"/>
          <w:color w:val="auto"/>
          <w:kern w:val="0"/>
          <w:szCs w:val="24"/>
          <w:lang w:val="en-US" w:eastAsia="zh-CN"/>
        </w:rPr>
        <w:t>陆仟</w:t>
      </w:r>
      <w:r>
        <w:rPr>
          <w:rFonts w:hint="eastAsia" w:asciiTheme="minorEastAsia" w:hAnsiTheme="minorEastAsia" w:eastAsiaTheme="minorEastAsia" w:cstheme="minorEastAsia"/>
          <w:color w:val="auto"/>
          <w:kern w:val="0"/>
          <w:szCs w:val="24"/>
          <w:lang w:val="en-US" w:eastAsia="zh-CN"/>
        </w:rPr>
        <w:t>元整。</w:t>
      </w:r>
    </w:p>
    <w:p w14:paraId="559C0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eastAsia="zh-CN"/>
        </w:rPr>
      </w:pPr>
      <w:r>
        <w:rPr>
          <w:rFonts w:hint="eastAsia" w:asciiTheme="minorEastAsia" w:hAnsiTheme="minorEastAsia" w:cstheme="minorEastAsia"/>
          <w:color w:val="auto"/>
          <w:kern w:val="0"/>
          <w:szCs w:val="24"/>
          <w:lang w:val="en-US" w:eastAsia="zh-CN"/>
        </w:rPr>
        <w:t>5.</w:t>
      </w:r>
      <w:r>
        <w:rPr>
          <w:rFonts w:hint="eastAsia" w:asciiTheme="minorEastAsia" w:hAnsiTheme="minorEastAsia" w:eastAsiaTheme="minorEastAsia" w:cstheme="minorEastAsia"/>
          <w:color w:val="auto"/>
          <w:kern w:val="0"/>
          <w:szCs w:val="24"/>
          <w:lang w:eastAsia="zh-CN"/>
        </w:rPr>
        <w:t>项目资金来源：财政资金。</w:t>
      </w:r>
    </w:p>
    <w:p w14:paraId="5F04D5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eastAsia="zh-CN"/>
        </w:rPr>
      </w:pPr>
      <w:r>
        <w:rPr>
          <w:rFonts w:hint="eastAsia" w:asciiTheme="minorEastAsia" w:hAnsiTheme="minorEastAsia" w:eastAsiaTheme="minorEastAsia" w:cstheme="minorEastAsia"/>
          <w:color w:val="auto"/>
          <w:kern w:val="0"/>
          <w:szCs w:val="24"/>
          <w:lang w:eastAsia="zh-CN"/>
        </w:rPr>
        <w:t>二、供应商资格要求：</w:t>
      </w:r>
    </w:p>
    <w:p w14:paraId="22EA72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bookmarkStart w:id="17" w:name="OLE_LINK10"/>
      <w:r>
        <w:rPr>
          <w:rFonts w:hint="eastAsia" w:asciiTheme="minorEastAsia" w:hAnsiTheme="minorEastAsia" w:cstheme="minorEastAsia"/>
          <w:color w:val="auto"/>
          <w:kern w:val="0"/>
          <w:szCs w:val="24"/>
          <w:lang w:val="en-US" w:eastAsia="zh-CN"/>
        </w:rPr>
        <w:t>（一）</w:t>
      </w:r>
      <w:r>
        <w:rPr>
          <w:rFonts w:hint="eastAsia" w:asciiTheme="minorEastAsia" w:hAnsiTheme="minorEastAsia" w:eastAsiaTheme="minorEastAsia" w:cstheme="minorEastAsia"/>
          <w:color w:val="auto"/>
          <w:kern w:val="0"/>
          <w:szCs w:val="24"/>
          <w:lang w:val="en-US" w:eastAsia="zh-CN"/>
        </w:rPr>
        <w:t>符合《中华人民共和国政府采购法》第二十二条之规定。</w:t>
      </w:r>
    </w:p>
    <w:p w14:paraId="5E4A5E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cstheme="minorEastAsia"/>
          <w:color w:val="auto"/>
          <w:kern w:val="0"/>
          <w:szCs w:val="24"/>
          <w:lang w:val="en-US" w:eastAsia="zh-CN"/>
        </w:rPr>
        <w:t>1</w:t>
      </w:r>
      <w:r>
        <w:rPr>
          <w:rFonts w:hint="eastAsia" w:asciiTheme="minorEastAsia" w:hAnsiTheme="minorEastAsia" w:eastAsiaTheme="minorEastAsia" w:cstheme="minorEastAsia"/>
          <w:color w:val="auto"/>
          <w:kern w:val="0"/>
          <w:szCs w:val="24"/>
          <w:lang w:val="en-US" w:eastAsia="zh-CN"/>
        </w:rPr>
        <w:t>.应具有独立承担民事责任的能力。</w:t>
      </w:r>
    </w:p>
    <w:p w14:paraId="2CB7F3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cstheme="minorEastAsia"/>
          <w:color w:val="auto"/>
          <w:kern w:val="0"/>
          <w:szCs w:val="24"/>
          <w:lang w:val="en-US" w:eastAsia="zh-CN"/>
        </w:rPr>
        <w:t>2</w:t>
      </w:r>
      <w:r>
        <w:rPr>
          <w:rFonts w:hint="eastAsia" w:asciiTheme="minorEastAsia" w:hAnsiTheme="minorEastAsia" w:eastAsiaTheme="minorEastAsia" w:cstheme="minorEastAsia"/>
          <w:color w:val="auto"/>
          <w:kern w:val="0"/>
          <w:szCs w:val="24"/>
          <w:lang w:val="en-US" w:eastAsia="zh-CN"/>
        </w:rPr>
        <w:t>.应具有良好的商业信誉和健全的财务会计制度。</w:t>
      </w:r>
    </w:p>
    <w:p w14:paraId="7BAFC1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cstheme="minorEastAsia"/>
          <w:color w:val="auto"/>
          <w:kern w:val="0"/>
          <w:szCs w:val="24"/>
          <w:lang w:val="en-US" w:eastAsia="zh-CN"/>
        </w:rPr>
        <w:t>3</w:t>
      </w:r>
      <w:r>
        <w:rPr>
          <w:rFonts w:hint="eastAsia" w:asciiTheme="minorEastAsia" w:hAnsiTheme="minorEastAsia" w:eastAsiaTheme="minorEastAsia" w:cstheme="minorEastAsia"/>
          <w:color w:val="auto"/>
          <w:kern w:val="0"/>
          <w:szCs w:val="24"/>
          <w:lang w:val="en-US" w:eastAsia="zh-CN"/>
        </w:rPr>
        <w:t>.应</w:t>
      </w:r>
      <w:r>
        <w:rPr>
          <w:rFonts w:hint="eastAsia" w:asciiTheme="minorEastAsia" w:hAnsiTheme="minorEastAsia" w:eastAsiaTheme="minorEastAsia" w:cstheme="minorEastAsia"/>
          <w:color w:val="auto"/>
          <w:kern w:val="0"/>
          <w:szCs w:val="24"/>
          <w:lang w:val="zh-CN" w:eastAsia="zh-CN"/>
        </w:rPr>
        <w:t>具有履行合同所必须的专业技术能力</w:t>
      </w:r>
      <w:r>
        <w:rPr>
          <w:rFonts w:hint="eastAsia" w:asciiTheme="minorEastAsia" w:hAnsiTheme="minorEastAsia" w:eastAsiaTheme="minorEastAsia" w:cstheme="minorEastAsia"/>
          <w:color w:val="auto"/>
          <w:kern w:val="0"/>
          <w:szCs w:val="24"/>
          <w:lang w:val="en-US" w:eastAsia="zh-CN"/>
        </w:rPr>
        <w:t>。</w:t>
      </w:r>
    </w:p>
    <w:p w14:paraId="4A9678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cstheme="minorEastAsia"/>
          <w:color w:val="auto"/>
          <w:kern w:val="0"/>
          <w:szCs w:val="24"/>
          <w:lang w:val="en-US" w:eastAsia="zh-CN"/>
        </w:rPr>
        <w:t>4</w:t>
      </w:r>
      <w:r>
        <w:rPr>
          <w:rFonts w:hint="eastAsia" w:asciiTheme="minorEastAsia" w:hAnsiTheme="minorEastAsia" w:eastAsiaTheme="minorEastAsia" w:cstheme="minorEastAsia"/>
          <w:color w:val="auto"/>
          <w:kern w:val="0"/>
          <w:szCs w:val="24"/>
          <w:lang w:val="en-US" w:eastAsia="zh-CN"/>
        </w:rPr>
        <w:t>.</w:t>
      </w:r>
      <w:r>
        <w:rPr>
          <w:rFonts w:hint="eastAsia" w:asciiTheme="minorEastAsia" w:hAnsiTheme="minorEastAsia" w:eastAsiaTheme="minorEastAsia" w:cstheme="minorEastAsia"/>
          <w:color w:val="auto"/>
          <w:kern w:val="0"/>
          <w:szCs w:val="24"/>
          <w:lang w:val="zh-CN" w:eastAsia="zh-CN"/>
        </w:rPr>
        <w:t>有依法缴纳税收和社会保障金的良好记录</w:t>
      </w:r>
      <w:r>
        <w:rPr>
          <w:rFonts w:hint="eastAsia" w:asciiTheme="minorEastAsia" w:hAnsiTheme="minorEastAsia" w:eastAsiaTheme="minorEastAsia" w:cstheme="minorEastAsia"/>
          <w:color w:val="auto"/>
          <w:kern w:val="0"/>
          <w:szCs w:val="24"/>
          <w:lang w:val="en-US" w:eastAsia="zh-CN"/>
        </w:rPr>
        <w:t>。</w:t>
      </w:r>
    </w:p>
    <w:p w14:paraId="1FB6A0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cstheme="minorEastAsia"/>
          <w:color w:val="auto"/>
          <w:kern w:val="0"/>
          <w:szCs w:val="24"/>
          <w:lang w:val="en-US" w:eastAsia="zh-CN"/>
        </w:rPr>
        <w:t>5</w:t>
      </w:r>
      <w:r>
        <w:rPr>
          <w:rFonts w:hint="eastAsia" w:asciiTheme="minorEastAsia" w:hAnsiTheme="minorEastAsia" w:eastAsiaTheme="minorEastAsia" w:cstheme="minorEastAsia"/>
          <w:color w:val="auto"/>
          <w:kern w:val="0"/>
          <w:szCs w:val="24"/>
          <w:lang w:val="en-US" w:eastAsia="zh-CN"/>
        </w:rPr>
        <w:t>.</w:t>
      </w:r>
      <w:r>
        <w:rPr>
          <w:rFonts w:hint="eastAsia" w:asciiTheme="minorEastAsia" w:hAnsiTheme="minorEastAsia" w:eastAsiaTheme="minorEastAsia" w:cstheme="minorEastAsia"/>
          <w:color w:val="auto"/>
          <w:kern w:val="0"/>
          <w:szCs w:val="24"/>
          <w:lang w:val="zh-CN" w:eastAsia="zh-CN"/>
        </w:rPr>
        <w:t>参加政府采购活动前三年内，在经营活动中没有重大违法记录。</w:t>
      </w:r>
    </w:p>
    <w:p w14:paraId="5C048E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cstheme="minorEastAsia"/>
          <w:color w:val="auto"/>
          <w:kern w:val="0"/>
          <w:szCs w:val="24"/>
          <w:lang w:val="en-US" w:eastAsia="zh-CN"/>
        </w:rPr>
        <w:t>6</w:t>
      </w:r>
      <w:r>
        <w:rPr>
          <w:rFonts w:hint="eastAsia" w:asciiTheme="minorEastAsia" w:hAnsiTheme="minorEastAsia" w:eastAsiaTheme="minorEastAsia" w:cstheme="minorEastAsia"/>
          <w:color w:val="auto"/>
          <w:kern w:val="0"/>
          <w:szCs w:val="24"/>
          <w:lang w:val="en-US" w:eastAsia="zh-CN"/>
        </w:rPr>
        <w:t>.法律、行政法规规定的其他条件。</w:t>
      </w:r>
    </w:p>
    <w:bookmarkEnd w:id="17"/>
    <w:p w14:paraId="6D9972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eastAsia="zh-CN"/>
        </w:rPr>
      </w:pPr>
      <w:r>
        <w:rPr>
          <w:rFonts w:hint="eastAsia" w:asciiTheme="minorEastAsia" w:hAnsiTheme="minorEastAsia" w:eastAsiaTheme="minorEastAsia" w:cstheme="minorEastAsia"/>
          <w:color w:val="auto"/>
          <w:kern w:val="0"/>
          <w:szCs w:val="24"/>
          <w:lang w:val="en-US" w:eastAsia="zh-CN"/>
        </w:rPr>
        <w:t>三、</w:t>
      </w:r>
      <w:r>
        <w:rPr>
          <w:rFonts w:hint="eastAsia" w:asciiTheme="minorEastAsia" w:hAnsiTheme="minorEastAsia" w:eastAsiaTheme="minorEastAsia" w:cstheme="minorEastAsia"/>
          <w:color w:val="auto"/>
          <w:kern w:val="0"/>
          <w:szCs w:val="24"/>
          <w:lang w:eastAsia="zh-CN"/>
        </w:rPr>
        <w:t>本项目不</w:t>
      </w:r>
      <w:r>
        <w:rPr>
          <w:rFonts w:hint="eastAsia" w:asciiTheme="minorEastAsia" w:hAnsiTheme="minorEastAsia" w:eastAsiaTheme="minorEastAsia" w:cstheme="minorEastAsia"/>
          <w:color w:val="auto"/>
          <w:kern w:val="0"/>
          <w:szCs w:val="24"/>
          <w:lang w:val="en-US" w:eastAsia="zh-CN"/>
        </w:rPr>
        <w:t>接受</w:t>
      </w:r>
      <w:r>
        <w:rPr>
          <w:rFonts w:hint="eastAsia" w:asciiTheme="minorEastAsia" w:hAnsiTheme="minorEastAsia" w:eastAsiaTheme="minorEastAsia" w:cstheme="minorEastAsia"/>
          <w:color w:val="auto"/>
          <w:kern w:val="0"/>
          <w:szCs w:val="24"/>
          <w:lang w:eastAsia="zh-CN"/>
        </w:rPr>
        <w:t>联合体参加磋商。</w:t>
      </w:r>
    </w:p>
    <w:p w14:paraId="4742E4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四、公告时间：</w:t>
      </w:r>
    </w:p>
    <w:p w14:paraId="08DFB7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自202</w:t>
      </w:r>
      <w:r>
        <w:rPr>
          <w:rFonts w:hint="eastAsia" w:asciiTheme="minorEastAsia" w:hAnsiTheme="minorEastAsia" w:cstheme="minorEastAsia"/>
          <w:color w:val="auto"/>
          <w:kern w:val="0"/>
          <w:szCs w:val="24"/>
          <w:lang w:val="en-US" w:eastAsia="zh-CN"/>
        </w:rPr>
        <w:t>5</w:t>
      </w:r>
      <w:r>
        <w:rPr>
          <w:rFonts w:hint="eastAsia" w:asciiTheme="minorEastAsia" w:hAnsiTheme="minorEastAsia" w:eastAsiaTheme="minorEastAsia" w:cstheme="minorEastAsia"/>
          <w:color w:val="auto"/>
          <w:kern w:val="0"/>
          <w:szCs w:val="24"/>
          <w:lang w:val="en-US" w:eastAsia="zh-CN"/>
        </w:rPr>
        <w:t>年</w:t>
      </w:r>
      <w:r>
        <w:rPr>
          <w:rFonts w:hint="eastAsia" w:asciiTheme="minorEastAsia" w:hAnsiTheme="minorEastAsia" w:cstheme="minorEastAsia"/>
          <w:color w:val="auto"/>
          <w:kern w:val="0"/>
          <w:szCs w:val="24"/>
          <w:lang w:val="en-US" w:eastAsia="zh-CN"/>
        </w:rPr>
        <w:t>4</w:t>
      </w:r>
      <w:r>
        <w:rPr>
          <w:rFonts w:hint="eastAsia" w:asciiTheme="minorEastAsia" w:hAnsiTheme="minorEastAsia" w:eastAsiaTheme="minorEastAsia" w:cstheme="minorEastAsia"/>
          <w:color w:val="auto"/>
          <w:kern w:val="0"/>
          <w:szCs w:val="24"/>
          <w:lang w:val="en-US" w:eastAsia="zh-CN"/>
        </w:rPr>
        <w:t>月</w:t>
      </w:r>
      <w:r>
        <w:rPr>
          <w:rFonts w:hint="eastAsia" w:asciiTheme="minorEastAsia" w:hAnsiTheme="minorEastAsia" w:cstheme="minorEastAsia"/>
          <w:color w:val="auto"/>
          <w:kern w:val="0"/>
          <w:szCs w:val="24"/>
          <w:lang w:val="en-US" w:eastAsia="zh-CN"/>
        </w:rPr>
        <w:t>2</w:t>
      </w:r>
      <w:r>
        <w:rPr>
          <w:rFonts w:hint="eastAsia" w:asciiTheme="minorEastAsia" w:hAnsiTheme="minorEastAsia" w:eastAsiaTheme="minorEastAsia" w:cstheme="minorEastAsia"/>
          <w:color w:val="auto"/>
          <w:kern w:val="0"/>
          <w:szCs w:val="24"/>
          <w:lang w:val="en-US" w:eastAsia="zh-CN"/>
        </w:rPr>
        <w:t>日</w:t>
      </w:r>
      <w:r>
        <w:rPr>
          <w:rFonts w:hint="eastAsia" w:asciiTheme="minorEastAsia" w:hAnsiTheme="minorEastAsia" w:cstheme="minorEastAsia"/>
          <w:color w:val="auto"/>
          <w:kern w:val="0"/>
          <w:szCs w:val="24"/>
          <w:lang w:val="en-US" w:eastAsia="zh-CN"/>
        </w:rPr>
        <w:t>9：30</w:t>
      </w:r>
      <w:r>
        <w:rPr>
          <w:rFonts w:hint="eastAsia" w:asciiTheme="minorEastAsia" w:hAnsiTheme="minorEastAsia" w:eastAsiaTheme="minorEastAsia" w:cstheme="minorEastAsia"/>
          <w:color w:val="auto"/>
          <w:kern w:val="0"/>
          <w:szCs w:val="24"/>
          <w:lang w:val="en-US" w:eastAsia="zh-CN"/>
        </w:rPr>
        <w:t>起至202</w:t>
      </w:r>
      <w:r>
        <w:rPr>
          <w:rFonts w:hint="eastAsia" w:asciiTheme="minorEastAsia" w:hAnsiTheme="minorEastAsia" w:cstheme="minorEastAsia"/>
          <w:color w:val="auto"/>
          <w:kern w:val="0"/>
          <w:szCs w:val="24"/>
          <w:lang w:val="en-US" w:eastAsia="zh-CN"/>
        </w:rPr>
        <w:t>5</w:t>
      </w:r>
      <w:r>
        <w:rPr>
          <w:rFonts w:hint="eastAsia" w:asciiTheme="minorEastAsia" w:hAnsiTheme="minorEastAsia" w:eastAsiaTheme="minorEastAsia" w:cstheme="minorEastAsia"/>
          <w:color w:val="auto"/>
          <w:kern w:val="0"/>
          <w:szCs w:val="24"/>
          <w:lang w:val="en-US" w:eastAsia="zh-CN"/>
        </w:rPr>
        <w:t>年</w:t>
      </w:r>
      <w:r>
        <w:rPr>
          <w:rFonts w:hint="eastAsia" w:asciiTheme="minorEastAsia" w:hAnsiTheme="minorEastAsia" w:cstheme="minorEastAsia"/>
          <w:color w:val="auto"/>
          <w:kern w:val="0"/>
          <w:szCs w:val="24"/>
          <w:lang w:val="en-US" w:eastAsia="zh-CN"/>
        </w:rPr>
        <w:t>4</w:t>
      </w:r>
      <w:r>
        <w:rPr>
          <w:rFonts w:hint="eastAsia" w:asciiTheme="minorEastAsia" w:hAnsiTheme="minorEastAsia" w:eastAsiaTheme="minorEastAsia" w:cstheme="minorEastAsia"/>
          <w:color w:val="auto"/>
          <w:kern w:val="0"/>
          <w:szCs w:val="24"/>
          <w:lang w:val="en-US" w:eastAsia="zh-CN"/>
        </w:rPr>
        <w:t>月</w:t>
      </w:r>
      <w:r>
        <w:rPr>
          <w:rFonts w:hint="eastAsia" w:asciiTheme="minorEastAsia" w:hAnsiTheme="minorEastAsia" w:cstheme="minorEastAsia"/>
          <w:color w:val="auto"/>
          <w:kern w:val="0"/>
          <w:szCs w:val="24"/>
          <w:lang w:val="en-US" w:eastAsia="zh-CN"/>
        </w:rPr>
        <w:t>8</w:t>
      </w:r>
      <w:r>
        <w:rPr>
          <w:rFonts w:hint="eastAsia" w:asciiTheme="minorEastAsia" w:hAnsiTheme="minorEastAsia" w:eastAsiaTheme="minorEastAsia" w:cstheme="minorEastAsia"/>
          <w:color w:val="auto"/>
          <w:kern w:val="0"/>
          <w:szCs w:val="24"/>
          <w:lang w:val="en-US" w:eastAsia="zh-CN"/>
        </w:rPr>
        <w:t>日</w:t>
      </w:r>
      <w:r>
        <w:rPr>
          <w:rFonts w:hint="eastAsia" w:asciiTheme="minorEastAsia" w:hAnsiTheme="minorEastAsia" w:cstheme="minorEastAsia"/>
          <w:color w:val="auto"/>
          <w:kern w:val="0"/>
          <w:szCs w:val="24"/>
          <w:lang w:val="en-US" w:eastAsia="zh-CN"/>
        </w:rPr>
        <w:t>9：30</w:t>
      </w:r>
      <w:r>
        <w:rPr>
          <w:rFonts w:hint="eastAsia" w:asciiTheme="minorEastAsia" w:hAnsiTheme="minorEastAsia" w:eastAsiaTheme="minorEastAsia" w:cstheme="minorEastAsia"/>
          <w:color w:val="auto"/>
          <w:kern w:val="0"/>
          <w:szCs w:val="24"/>
          <w:lang w:val="en-US" w:eastAsia="zh-CN"/>
        </w:rPr>
        <w:t>止（北京时间）。</w:t>
      </w:r>
    </w:p>
    <w:p w14:paraId="483123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五、获取磋商文件方式：</w:t>
      </w:r>
      <w:bookmarkStart w:id="122" w:name="_GoBack"/>
      <w:bookmarkEnd w:id="122"/>
    </w:p>
    <w:p w14:paraId="102E02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供应商请在达州市水务局门户网站获取电子版竞争性磋商文件。</w:t>
      </w:r>
    </w:p>
    <w:p w14:paraId="6CD192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六、磋商文件递交起止时间：</w:t>
      </w:r>
    </w:p>
    <w:p w14:paraId="46E1C1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202</w:t>
      </w:r>
      <w:r>
        <w:rPr>
          <w:rFonts w:hint="eastAsia" w:asciiTheme="minorEastAsia" w:hAnsiTheme="minorEastAsia" w:cstheme="minorEastAsia"/>
          <w:color w:val="auto"/>
          <w:kern w:val="0"/>
          <w:szCs w:val="24"/>
          <w:lang w:val="en-US" w:eastAsia="zh-CN"/>
        </w:rPr>
        <w:t>5</w:t>
      </w:r>
      <w:r>
        <w:rPr>
          <w:rFonts w:hint="eastAsia" w:asciiTheme="minorEastAsia" w:hAnsiTheme="minorEastAsia" w:eastAsiaTheme="minorEastAsia" w:cstheme="minorEastAsia"/>
          <w:color w:val="auto"/>
          <w:kern w:val="0"/>
          <w:szCs w:val="24"/>
          <w:lang w:val="en-US" w:eastAsia="zh-CN"/>
        </w:rPr>
        <w:t>年</w:t>
      </w:r>
      <w:r>
        <w:rPr>
          <w:rFonts w:hint="eastAsia" w:asciiTheme="minorEastAsia" w:hAnsiTheme="minorEastAsia" w:cstheme="minorEastAsia"/>
          <w:color w:val="auto"/>
          <w:kern w:val="0"/>
          <w:szCs w:val="24"/>
          <w:lang w:val="en-US" w:eastAsia="zh-CN"/>
        </w:rPr>
        <w:t>4</w:t>
      </w:r>
      <w:r>
        <w:rPr>
          <w:rFonts w:hint="eastAsia" w:asciiTheme="minorEastAsia" w:hAnsiTheme="minorEastAsia" w:eastAsiaTheme="minorEastAsia" w:cstheme="minorEastAsia"/>
          <w:color w:val="auto"/>
          <w:kern w:val="0"/>
          <w:szCs w:val="24"/>
          <w:lang w:val="en-US" w:eastAsia="zh-CN"/>
        </w:rPr>
        <w:t>月</w:t>
      </w:r>
      <w:r>
        <w:rPr>
          <w:rFonts w:hint="eastAsia" w:asciiTheme="minorEastAsia" w:hAnsiTheme="minorEastAsia" w:cstheme="minorEastAsia"/>
          <w:color w:val="auto"/>
          <w:kern w:val="0"/>
          <w:szCs w:val="24"/>
          <w:lang w:val="en-US" w:eastAsia="zh-CN"/>
        </w:rPr>
        <w:t>11</w:t>
      </w:r>
      <w:r>
        <w:rPr>
          <w:rFonts w:hint="eastAsia" w:asciiTheme="minorEastAsia" w:hAnsiTheme="minorEastAsia" w:eastAsiaTheme="minorEastAsia" w:cstheme="minorEastAsia"/>
          <w:color w:val="auto"/>
          <w:kern w:val="0"/>
          <w:szCs w:val="24"/>
          <w:lang w:val="en-US" w:eastAsia="zh-CN"/>
        </w:rPr>
        <w:t>日</w:t>
      </w:r>
      <w:r>
        <w:rPr>
          <w:rFonts w:hint="eastAsia" w:asciiTheme="minorEastAsia" w:hAnsiTheme="minorEastAsia" w:cstheme="minorEastAsia"/>
          <w:color w:val="auto"/>
          <w:kern w:val="0"/>
          <w:szCs w:val="24"/>
          <w:lang w:val="en-US" w:eastAsia="zh-CN"/>
        </w:rPr>
        <w:t>9：00至9：30</w:t>
      </w:r>
      <w:r>
        <w:rPr>
          <w:rFonts w:hint="eastAsia" w:asciiTheme="minorEastAsia" w:hAnsiTheme="minorEastAsia" w:eastAsiaTheme="minorEastAsia" w:cstheme="minorEastAsia"/>
          <w:color w:val="auto"/>
          <w:kern w:val="0"/>
          <w:szCs w:val="24"/>
          <w:lang w:val="en-US" w:eastAsia="zh-CN"/>
        </w:rPr>
        <w:t>（北京时间）。逾期递交或不符合规定的响应文件恕不接受。</w:t>
      </w:r>
    </w:p>
    <w:p w14:paraId="113F10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七、递交地点即磋商地点：</w:t>
      </w:r>
    </w:p>
    <w:p w14:paraId="590349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eastAsia="zh-CN"/>
        </w:rPr>
        <w:t>达州市水务局10楼会议室</w:t>
      </w:r>
      <w:r>
        <w:rPr>
          <w:rFonts w:hint="eastAsia" w:asciiTheme="minorEastAsia" w:hAnsiTheme="minorEastAsia" w:eastAsiaTheme="minorEastAsia" w:cstheme="minorEastAsia"/>
          <w:color w:val="auto"/>
          <w:kern w:val="0"/>
          <w:szCs w:val="24"/>
          <w:lang w:val="en-US" w:eastAsia="zh-CN"/>
        </w:rPr>
        <w:t>（达州市达川大道1段72号）。</w:t>
      </w:r>
    </w:p>
    <w:p w14:paraId="76AE73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eastAsia="zh-CN"/>
        </w:rPr>
      </w:pPr>
      <w:r>
        <w:rPr>
          <w:rFonts w:hint="eastAsia" w:asciiTheme="minorEastAsia" w:hAnsiTheme="minorEastAsia" w:eastAsiaTheme="minorEastAsia" w:cstheme="minorEastAsia"/>
          <w:color w:val="auto"/>
          <w:kern w:val="0"/>
          <w:szCs w:val="24"/>
          <w:lang w:val="en-US" w:eastAsia="zh-CN"/>
        </w:rPr>
        <w:t>八</w:t>
      </w:r>
      <w:r>
        <w:rPr>
          <w:rFonts w:hint="eastAsia" w:asciiTheme="minorEastAsia" w:hAnsiTheme="minorEastAsia" w:eastAsiaTheme="minorEastAsia" w:cstheme="minorEastAsia"/>
          <w:color w:val="auto"/>
          <w:kern w:val="0"/>
          <w:szCs w:val="24"/>
          <w:lang w:eastAsia="zh-CN"/>
        </w:rPr>
        <w:t>、评审方法：</w:t>
      </w:r>
    </w:p>
    <w:p w14:paraId="4B752F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eastAsia="zh-CN"/>
        </w:rPr>
      </w:pPr>
      <w:r>
        <w:rPr>
          <w:rFonts w:hint="eastAsia" w:asciiTheme="minorEastAsia" w:hAnsiTheme="minorEastAsia" w:eastAsiaTheme="minorEastAsia" w:cstheme="minorEastAsia"/>
          <w:color w:val="auto"/>
          <w:kern w:val="0"/>
          <w:szCs w:val="24"/>
          <w:lang w:eastAsia="zh-CN"/>
        </w:rPr>
        <w:t>磋商小组</w:t>
      </w:r>
      <w:r>
        <w:rPr>
          <w:rFonts w:hint="eastAsia" w:asciiTheme="minorEastAsia" w:hAnsiTheme="minorEastAsia" w:eastAsiaTheme="minorEastAsia" w:cstheme="minorEastAsia"/>
          <w:color w:val="auto"/>
          <w:kern w:val="0"/>
          <w:szCs w:val="24"/>
          <w:lang w:val="en-US" w:eastAsia="zh-CN"/>
        </w:rPr>
        <w:t>对供应商资格和符合性进行审查；审查结束后，与通过审查的供应商进行充分磋商，然后</w:t>
      </w:r>
      <w:r>
        <w:rPr>
          <w:rFonts w:hint="eastAsia" w:asciiTheme="minorEastAsia" w:hAnsiTheme="minorEastAsia" w:eastAsiaTheme="minorEastAsia" w:cstheme="minorEastAsia"/>
          <w:color w:val="auto"/>
          <w:kern w:val="0"/>
          <w:szCs w:val="24"/>
          <w:lang w:eastAsia="zh-CN"/>
        </w:rPr>
        <w:t>采用综合评分法进行综合评分，评审得分最高的供应商为成交</w:t>
      </w:r>
      <w:r>
        <w:rPr>
          <w:rFonts w:hint="eastAsia" w:asciiTheme="minorEastAsia" w:hAnsiTheme="minorEastAsia" w:eastAsiaTheme="minorEastAsia" w:cstheme="minorEastAsia"/>
          <w:color w:val="auto"/>
          <w:kern w:val="0"/>
          <w:szCs w:val="24"/>
          <w:lang w:val="en-US" w:eastAsia="zh-CN"/>
        </w:rPr>
        <w:t>候选</w:t>
      </w:r>
      <w:r>
        <w:rPr>
          <w:rFonts w:hint="eastAsia" w:asciiTheme="minorEastAsia" w:hAnsiTheme="minorEastAsia" w:eastAsiaTheme="minorEastAsia" w:cstheme="minorEastAsia"/>
          <w:color w:val="auto"/>
          <w:kern w:val="0"/>
          <w:szCs w:val="24"/>
          <w:lang w:eastAsia="zh-CN"/>
        </w:rPr>
        <w:t>供应商。</w:t>
      </w:r>
    </w:p>
    <w:p w14:paraId="6F195D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eastAsia="zh-CN"/>
        </w:rPr>
      </w:pPr>
      <w:r>
        <w:rPr>
          <w:rFonts w:hint="eastAsia" w:asciiTheme="minorEastAsia" w:hAnsiTheme="minorEastAsia" w:eastAsiaTheme="minorEastAsia" w:cstheme="minorEastAsia"/>
          <w:color w:val="auto"/>
          <w:kern w:val="0"/>
          <w:szCs w:val="24"/>
          <w:lang w:eastAsia="zh-CN"/>
        </w:rPr>
        <w:t>九、采购人及联系方式：</w:t>
      </w:r>
    </w:p>
    <w:p w14:paraId="7D2BD3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eastAsia="zh-CN"/>
        </w:rPr>
      </w:pPr>
      <w:r>
        <w:rPr>
          <w:rFonts w:hint="eastAsia" w:asciiTheme="minorEastAsia" w:hAnsiTheme="minorEastAsia" w:eastAsiaTheme="minorEastAsia" w:cstheme="minorEastAsia"/>
          <w:color w:val="auto"/>
          <w:kern w:val="0"/>
          <w:szCs w:val="24"/>
          <w:lang w:eastAsia="zh-CN"/>
        </w:rPr>
        <w:t>采购人名称：</w:t>
      </w:r>
      <w:r>
        <w:rPr>
          <w:rFonts w:hint="eastAsia" w:asciiTheme="minorEastAsia" w:hAnsiTheme="minorEastAsia" w:eastAsiaTheme="minorEastAsia" w:cstheme="minorEastAsia"/>
          <w:color w:val="auto"/>
          <w:kern w:val="0"/>
          <w:szCs w:val="24"/>
          <w:lang w:val="en-US" w:eastAsia="zh-CN"/>
        </w:rPr>
        <w:t>达州市水务局</w:t>
      </w:r>
    </w:p>
    <w:p w14:paraId="4C8CA7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采购人地址：达州市达川大道 1 段 72 号</w:t>
      </w:r>
    </w:p>
    <w:p w14:paraId="5672F3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eastAsia="zh-CN"/>
        </w:rPr>
        <w:t>采购人联系方式：</w:t>
      </w:r>
      <w:r>
        <w:rPr>
          <w:rFonts w:hint="eastAsia" w:asciiTheme="minorEastAsia" w:hAnsiTheme="minorEastAsia" w:cstheme="minorEastAsia"/>
          <w:color w:val="auto"/>
          <w:kern w:val="0"/>
          <w:szCs w:val="24"/>
          <w:lang w:val="en-US" w:eastAsia="zh-CN"/>
        </w:rPr>
        <w:t>李</w:t>
      </w:r>
      <w:r>
        <w:rPr>
          <w:rFonts w:hint="eastAsia" w:asciiTheme="minorEastAsia" w:hAnsiTheme="minorEastAsia" w:eastAsiaTheme="minorEastAsia" w:cstheme="minorEastAsia"/>
          <w:color w:val="auto"/>
          <w:kern w:val="0"/>
          <w:szCs w:val="24"/>
          <w:lang w:eastAsia="zh-CN"/>
        </w:rPr>
        <w:t>先生</w:t>
      </w:r>
      <w:r>
        <w:rPr>
          <w:rFonts w:hint="eastAsia" w:asciiTheme="minorEastAsia" w:hAnsiTheme="minorEastAsia" w:eastAsiaTheme="minorEastAsia" w:cstheme="minorEastAsia"/>
          <w:color w:val="auto"/>
          <w:kern w:val="0"/>
          <w:szCs w:val="24"/>
          <w:lang w:val="en-US" w:eastAsia="zh-CN"/>
        </w:rPr>
        <w:t xml:space="preserve">    </w:t>
      </w:r>
      <w:r>
        <w:rPr>
          <w:rFonts w:hint="eastAsia" w:asciiTheme="minorEastAsia" w:hAnsiTheme="minorEastAsia" w:eastAsiaTheme="minorEastAsia" w:cstheme="minorEastAsia"/>
          <w:color w:val="auto"/>
          <w:kern w:val="0"/>
          <w:szCs w:val="24"/>
          <w:lang w:eastAsia="zh-CN"/>
        </w:rPr>
        <w:t>联系电话：</w:t>
      </w:r>
      <w:r>
        <w:rPr>
          <w:rFonts w:hint="eastAsia" w:asciiTheme="minorEastAsia" w:hAnsiTheme="minorEastAsia" w:cstheme="minorEastAsia"/>
          <w:color w:val="auto"/>
          <w:kern w:val="0"/>
          <w:szCs w:val="24"/>
          <w:lang w:val="en-US" w:eastAsia="zh-CN"/>
        </w:rPr>
        <w:t>0818-2652957</w:t>
      </w:r>
    </w:p>
    <w:p w14:paraId="7248D7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p>
    <w:p w14:paraId="74D802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Cs w:val="24"/>
          <w:lang w:val="en-US" w:eastAsia="zh-CN"/>
        </w:rPr>
      </w:pPr>
    </w:p>
    <w:p w14:paraId="4376EA21">
      <w:pPr>
        <w:keepNext w:val="0"/>
        <w:keepLines w:val="0"/>
        <w:pageBreakBefore w:val="0"/>
        <w:widowControl w:val="0"/>
        <w:kinsoku/>
        <w:wordWrap/>
        <w:overflowPunct/>
        <w:topLinePunct w:val="0"/>
        <w:autoSpaceDE/>
        <w:autoSpaceDN/>
        <w:bidi w:val="0"/>
        <w:adjustRightInd/>
        <w:snapToGrid/>
        <w:spacing w:line="360" w:lineRule="auto"/>
        <w:ind w:firstLine="6300" w:firstLineChars="30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达州市水务局</w:t>
      </w:r>
    </w:p>
    <w:p w14:paraId="2AE2D479">
      <w:pPr>
        <w:keepNext w:val="0"/>
        <w:keepLines w:val="0"/>
        <w:pageBreakBefore w:val="0"/>
        <w:widowControl w:val="0"/>
        <w:kinsoku/>
        <w:wordWrap/>
        <w:overflowPunct/>
        <w:topLinePunct w:val="0"/>
        <w:autoSpaceDE/>
        <w:autoSpaceDN/>
        <w:bidi w:val="0"/>
        <w:adjustRightInd/>
        <w:snapToGrid/>
        <w:spacing w:line="360" w:lineRule="auto"/>
        <w:ind w:firstLine="6090" w:firstLineChars="2900"/>
        <w:textAlignment w:val="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202</w:t>
      </w:r>
      <w:r>
        <w:rPr>
          <w:rFonts w:hint="eastAsia" w:asciiTheme="minorEastAsia" w:hAnsiTheme="minorEastAsia" w:cstheme="minorEastAsia"/>
          <w:color w:val="auto"/>
          <w:kern w:val="0"/>
          <w:szCs w:val="24"/>
          <w:lang w:val="en-US" w:eastAsia="zh-CN"/>
        </w:rPr>
        <w:t>5</w:t>
      </w:r>
      <w:r>
        <w:rPr>
          <w:rFonts w:hint="eastAsia" w:asciiTheme="minorEastAsia" w:hAnsiTheme="minorEastAsia" w:eastAsiaTheme="minorEastAsia" w:cstheme="minorEastAsia"/>
          <w:color w:val="auto"/>
          <w:kern w:val="0"/>
          <w:szCs w:val="24"/>
          <w:lang w:val="en-US" w:eastAsia="zh-CN"/>
        </w:rPr>
        <w:t>年</w:t>
      </w:r>
      <w:r>
        <w:rPr>
          <w:rFonts w:hint="eastAsia" w:asciiTheme="minorEastAsia" w:hAnsiTheme="minorEastAsia" w:cstheme="minorEastAsia"/>
          <w:color w:val="auto"/>
          <w:kern w:val="0"/>
          <w:szCs w:val="24"/>
          <w:lang w:val="en-US" w:eastAsia="zh-CN"/>
        </w:rPr>
        <w:t>4</w:t>
      </w:r>
      <w:r>
        <w:rPr>
          <w:rFonts w:hint="eastAsia" w:asciiTheme="minorEastAsia" w:hAnsiTheme="minorEastAsia" w:eastAsiaTheme="minorEastAsia" w:cstheme="minorEastAsia"/>
          <w:color w:val="auto"/>
          <w:kern w:val="0"/>
          <w:szCs w:val="24"/>
          <w:lang w:val="en-US" w:eastAsia="zh-CN"/>
        </w:rPr>
        <w:t>月</w:t>
      </w:r>
      <w:r>
        <w:rPr>
          <w:rFonts w:hint="eastAsia" w:asciiTheme="minorEastAsia" w:hAnsiTheme="minorEastAsia" w:cstheme="minorEastAsia"/>
          <w:color w:val="auto"/>
          <w:kern w:val="0"/>
          <w:szCs w:val="24"/>
          <w:lang w:val="en-US" w:eastAsia="zh-CN"/>
        </w:rPr>
        <w:t>1</w:t>
      </w:r>
      <w:r>
        <w:rPr>
          <w:rFonts w:hint="eastAsia" w:asciiTheme="minorEastAsia" w:hAnsiTheme="minorEastAsia" w:eastAsiaTheme="minorEastAsia" w:cstheme="minorEastAsia"/>
          <w:color w:val="auto"/>
          <w:kern w:val="0"/>
          <w:szCs w:val="24"/>
          <w:lang w:val="en-US" w:eastAsia="zh-CN"/>
        </w:rPr>
        <w:t>日</w:t>
      </w:r>
    </w:p>
    <w:p w14:paraId="149C16C7">
      <w:pPr>
        <w:jc w:val="both"/>
        <w:rPr>
          <w:rFonts w:hint="eastAsia" w:ascii="方正小标宋简体" w:hAnsi="方正小标宋简体" w:eastAsia="方正小标宋简体" w:cs="方正小标宋简体"/>
          <w:color w:val="auto"/>
          <w:sz w:val="32"/>
          <w:szCs w:val="32"/>
          <w:lang w:eastAsia="zh-CN"/>
        </w:rPr>
      </w:pPr>
    </w:p>
    <w:p w14:paraId="0A8BFD1C">
      <w:pPr>
        <w:pStyle w:val="2"/>
        <w:bidi w:val="0"/>
        <w:jc w:val="center"/>
        <w:rPr>
          <w:rFonts w:hint="eastAsia" w:ascii="方正仿宋_GBK" w:hAnsi="方正仿宋_GBK" w:eastAsia="方正仿宋_GBK" w:cs="方正仿宋_GBK"/>
          <w:b/>
          <w:bCs w:val="0"/>
          <w:color w:val="auto"/>
          <w:sz w:val="36"/>
          <w:szCs w:val="36"/>
        </w:rPr>
      </w:pPr>
      <w:r>
        <w:rPr>
          <w:rFonts w:hint="eastAsia" w:ascii="方正仿宋_GBK" w:hAnsi="方正仿宋_GBK" w:eastAsia="方正仿宋_GBK" w:cs="方正仿宋_GBK"/>
          <w:color w:val="auto"/>
          <w:kern w:val="2"/>
          <w:sz w:val="24"/>
          <w:szCs w:val="24"/>
          <w:lang w:val="en-US" w:eastAsia="zh-CN" w:bidi="ar-SA"/>
        </w:rPr>
        <w:br w:type="page"/>
      </w:r>
      <w:bookmarkStart w:id="18" w:name="_Toc104383959"/>
      <w:bookmarkStart w:id="19" w:name="_Toc1317108148"/>
      <w:bookmarkStart w:id="20" w:name="_Toc1090430760"/>
      <w:bookmarkStart w:id="21" w:name="_Toc6448"/>
      <w:bookmarkStart w:id="22" w:name="_Toc449524470"/>
      <w:r>
        <w:rPr>
          <w:rFonts w:hint="eastAsia" w:ascii="方正仿宋_GBK" w:hAnsi="方正仿宋_GBK" w:eastAsia="方正仿宋_GBK" w:cs="方正仿宋_GBK"/>
          <w:b/>
          <w:bCs w:val="0"/>
          <w:color w:val="auto"/>
          <w:sz w:val="36"/>
          <w:szCs w:val="36"/>
        </w:rPr>
        <w:t>第</w:t>
      </w:r>
      <w:r>
        <w:rPr>
          <w:rFonts w:hint="eastAsia" w:ascii="方正仿宋_GBK" w:hAnsi="方正仿宋_GBK" w:eastAsia="方正仿宋_GBK" w:cs="方正仿宋_GBK"/>
          <w:b/>
          <w:bCs w:val="0"/>
          <w:color w:val="auto"/>
          <w:sz w:val="36"/>
          <w:szCs w:val="36"/>
          <w:lang w:eastAsia="zh-CN"/>
        </w:rPr>
        <w:t>二</w:t>
      </w:r>
      <w:r>
        <w:rPr>
          <w:rFonts w:hint="eastAsia" w:ascii="方正仿宋_GBK" w:hAnsi="方正仿宋_GBK" w:eastAsia="方正仿宋_GBK" w:cs="方正仿宋_GBK"/>
          <w:b/>
          <w:bCs w:val="0"/>
          <w:color w:val="auto"/>
          <w:sz w:val="36"/>
          <w:szCs w:val="36"/>
        </w:rPr>
        <w:t>部分  供应商须知</w:t>
      </w:r>
      <w:bookmarkEnd w:id="18"/>
      <w:bookmarkEnd w:id="19"/>
      <w:bookmarkEnd w:id="20"/>
      <w:bookmarkEnd w:id="21"/>
      <w:bookmarkEnd w:id="22"/>
    </w:p>
    <w:p w14:paraId="37721EB6">
      <w:pPr>
        <w:pStyle w:val="3"/>
        <w:spacing w:line="360" w:lineRule="auto"/>
        <w:jc w:val="center"/>
        <w:rPr>
          <w:rFonts w:hint="eastAsia" w:asciiTheme="minorEastAsia" w:hAnsiTheme="minorEastAsia" w:eastAsiaTheme="minorEastAsia" w:cstheme="minorEastAsia"/>
          <w:b/>
          <w:bCs w:val="0"/>
          <w:color w:val="auto"/>
          <w:kern w:val="44"/>
          <w:sz w:val="24"/>
          <w:szCs w:val="24"/>
        </w:rPr>
      </w:pPr>
      <w:bookmarkStart w:id="23" w:name="_Toc18820"/>
      <w:bookmarkStart w:id="24" w:name="_Toc449524474"/>
      <w:bookmarkStart w:id="25" w:name="_Toc520356146"/>
      <w:r>
        <w:rPr>
          <w:rFonts w:hint="eastAsia" w:asciiTheme="minorEastAsia" w:hAnsiTheme="minorEastAsia" w:eastAsiaTheme="minorEastAsia" w:cstheme="minorEastAsia"/>
          <w:b/>
          <w:bCs w:val="0"/>
          <w:color w:val="auto"/>
          <w:kern w:val="44"/>
          <w:sz w:val="24"/>
          <w:szCs w:val="24"/>
        </w:rPr>
        <w:t>一、总则</w:t>
      </w:r>
    </w:p>
    <w:p w14:paraId="5E20198E">
      <w:pPr>
        <w:pStyle w:val="3"/>
        <w:spacing w:line="360" w:lineRule="auto"/>
        <w:rPr>
          <w:rFonts w:hint="eastAsia" w:asciiTheme="minorEastAsia" w:hAnsiTheme="minorEastAsia" w:eastAsiaTheme="minorEastAsia" w:cstheme="minorEastAsia"/>
          <w:b w:val="0"/>
          <w:color w:val="auto"/>
          <w:kern w:val="44"/>
          <w:sz w:val="24"/>
          <w:szCs w:val="24"/>
        </w:rPr>
      </w:pPr>
      <w:r>
        <w:rPr>
          <w:rFonts w:hint="eastAsia" w:asciiTheme="minorEastAsia" w:hAnsiTheme="minorEastAsia" w:eastAsiaTheme="minorEastAsia" w:cstheme="minorEastAsia"/>
          <w:b w:val="0"/>
          <w:color w:val="auto"/>
          <w:kern w:val="44"/>
          <w:sz w:val="24"/>
          <w:szCs w:val="24"/>
        </w:rPr>
        <w:t>1、 适用范围</w:t>
      </w:r>
    </w:p>
    <w:p w14:paraId="521E1320">
      <w:pPr>
        <w:spacing w:line="360" w:lineRule="auto"/>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1.1 本磋商文件仅适用于竞争性磋商邀请中所述项目的采购。</w:t>
      </w:r>
    </w:p>
    <w:p w14:paraId="7583C9C0">
      <w:pPr>
        <w:spacing w:line="360" w:lineRule="auto"/>
        <w:rPr>
          <w:rFonts w:hint="eastAsia" w:asciiTheme="minorEastAsia" w:hAnsiTheme="minorEastAsia" w:eastAsiaTheme="minorEastAsia" w:cstheme="minorEastAsia"/>
          <w:color w:val="auto"/>
          <w:kern w:val="44"/>
          <w:szCs w:val="24"/>
          <w:lang w:eastAsia="zh-CN"/>
        </w:rPr>
      </w:pPr>
      <w:r>
        <w:rPr>
          <w:rFonts w:hint="eastAsia" w:asciiTheme="minorEastAsia" w:hAnsiTheme="minorEastAsia" w:eastAsiaTheme="minorEastAsia" w:cstheme="minorEastAsia"/>
          <w:color w:val="auto"/>
          <w:kern w:val="44"/>
          <w:szCs w:val="24"/>
        </w:rPr>
        <w:t>1.2 资金来源：财政资金</w:t>
      </w:r>
      <w:r>
        <w:rPr>
          <w:rFonts w:hint="eastAsia" w:asciiTheme="minorEastAsia" w:hAnsiTheme="minorEastAsia" w:cstheme="minorEastAsia"/>
          <w:color w:val="auto"/>
          <w:kern w:val="44"/>
          <w:szCs w:val="24"/>
          <w:lang w:eastAsia="zh-CN"/>
        </w:rPr>
        <w:t>。</w:t>
      </w:r>
    </w:p>
    <w:p w14:paraId="123D49CA">
      <w:pPr>
        <w:spacing w:line="360" w:lineRule="auto"/>
        <w:rPr>
          <w:rFonts w:hint="eastAsia" w:asciiTheme="minorEastAsia" w:hAnsiTheme="minorEastAsia" w:eastAsiaTheme="minorEastAsia" w:cstheme="minorEastAsia"/>
          <w:color w:val="auto"/>
          <w:sz w:val="21"/>
          <w:szCs w:val="24"/>
          <w:lang w:val="zh-CN" w:eastAsia="zh-CN"/>
        </w:rPr>
      </w:pPr>
      <w:r>
        <w:rPr>
          <w:rFonts w:hint="eastAsia" w:asciiTheme="minorEastAsia" w:hAnsiTheme="minorEastAsia" w:eastAsiaTheme="minorEastAsia" w:cstheme="minorEastAsia"/>
          <w:color w:val="auto"/>
          <w:sz w:val="21"/>
          <w:szCs w:val="24"/>
          <w:lang w:val="zh-CN" w:eastAsia="zh-CN"/>
        </w:rPr>
        <w:t>1.3 项目预算金额：</w:t>
      </w:r>
      <w:r>
        <w:rPr>
          <w:rFonts w:hint="eastAsia" w:ascii="Times New Roman" w:hAnsi="Times New Roman" w:eastAsia="宋体" w:cs="Times New Roman"/>
          <w:color w:val="auto"/>
          <w:sz w:val="21"/>
          <w:szCs w:val="24"/>
          <w:lang w:val="en-US" w:eastAsia="zh-CN"/>
        </w:rPr>
        <w:t>11.60</w:t>
      </w:r>
      <w:r>
        <w:rPr>
          <w:rFonts w:hint="eastAsia" w:asciiTheme="minorEastAsia" w:hAnsiTheme="minorEastAsia" w:eastAsiaTheme="minorEastAsia" w:cstheme="minorEastAsia"/>
          <w:color w:val="auto"/>
          <w:kern w:val="44"/>
          <w:szCs w:val="24"/>
          <w:lang w:val="en-US" w:eastAsia="zh-CN"/>
        </w:rPr>
        <w:t>万</w:t>
      </w:r>
      <w:r>
        <w:rPr>
          <w:rFonts w:hint="eastAsia" w:asciiTheme="minorEastAsia" w:hAnsiTheme="minorEastAsia" w:eastAsiaTheme="minorEastAsia" w:cstheme="minorEastAsia"/>
          <w:color w:val="auto"/>
          <w:sz w:val="21"/>
          <w:szCs w:val="24"/>
          <w:lang w:val="en-US" w:eastAsia="zh-CN"/>
        </w:rPr>
        <w:t>元</w:t>
      </w:r>
      <w:r>
        <w:rPr>
          <w:rFonts w:hint="eastAsia" w:asciiTheme="minorEastAsia" w:hAnsiTheme="minorEastAsia" w:eastAsiaTheme="minorEastAsia" w:cstheme="minorEastAsia"/>
          <w:color w:val="auto"/>
          <w:sz w:val="21"/>
          <w:szCs w:val="24"/>
          <w:lang w:val="zh-CN" w:eastAsia="zh-CN"/>
        </w:rPr>
        <w:t>。</w:t>
      </w:r>
      <w:r>
        <w:rPr>
          <w:rFonts w:hint="eastAsia" w:asciiTheme="minorEastAsia" w:hAnsiTheme="minorEastAsia" w:eastAsiaTheme="minorEastAsia" w:cstheme="minorEastAsia"/>
          <w:color w:val="auto"/>
          <w:sz w:val="21"/>
          <w:szCs w:val="24"/>
          <w:lang w:val="en-US" w:eastAsia="zh-CN"/>
        </w:rPr>
        <w:t>大写：</w:t>
      </w:r>
      <w:r>
        <w:rPr>
          <w:rFonts w:hint="eastAsia" w:asciiTheme="minorEastAsia" w:hAnsiTheme="minorEastAsia" w:cstheme="minorEastAsia"/>
          <w:color w:val="auto"/>
          <w:sz w:val="21"/>
          <w:szCs w:val="24"/>
          <w:lang w:val="en-US" w:eastAsia="zh-CN"/>
        </w:rPr>
        <w:t>壹</w:t>
      </w:r>
      <w:r>
        <w:rPr>
          <w:rFonts w:hint="eastAsia" w:asciiTheme="minorEastAsia" w:hAnsiTheme="minorEastAsia" w:eastAsiaTheme="minorEastAsia" w:cstheme="minorEastAsia"/>
          <w:color w:val="auto"/>
          <w:sz w:val="21"/>
          <w:szCs w:val="24"/>
          <w:lang w:val="en-US" w:eastAsia="zh-CN"/>
        </w:rPr>
        <w:t>拾</w:t>
      </w:r>
      <w:r>
        <w:rPr>
          <w:rFonts w:hint="eastAsia" w:asciiTheme="minorEastAsia" w:hAnsiTheme="minorEastAsia" w:cstheme="minorEastAsia"/>
          <w:color w:val="auto"/>
          <w:sz w:val="21"/>
          <w:szCs w:val="24"/>
          <w:lang w:val="en-US" w:eastAsia="zh-CN"/>
        </w:rPr>
        <w:t>壹</w:t>
      </w:r>
      <w:r>
        <w:rPr>
          <w:rFonts w:hint="eastAsia" w:asciiTheme="minorEastAsia" w:hAnsiTheme="minorEastAsia" w:eastAsiaTheme="minorEastAsia" w:cstheme="minorEastAsia"/>
          <w:color w:val="auto"/>
          <w:sz w:val="21"/>
          <w:szCs w:val="24"/>
          <w:lang w:val="en-US" w:eastAsia="zh-CN"/>
        </w:rPr>
        <w:t>万</w:t>
      </w:r>
      <w:r>
        <w:rPr>
          <w:rFonts w:hint="eastAsia" w:asciiTheme="minorEastAsia" w:hAnsiTheme="minorEastAsia" w:cstheme="minorEastAsia"/>
          <w:color w:val="auto"/>
          <w:sz w:val="21"/>
          <w:szCs w:val="24"/>
          <w:lang w:val="en-US" w:eastAsia="zh-CN"/>
        </w:rPr>
        <w:t>陆仟</w:t>
      </w:r>
      <w:r>
        <w:rPr>
          <w:rFonts w:hint="eastAsia" w:asciiTheme="minorEastAsia" w:hAnsiTheme="minorEastAsia" w:eastAsiaTheme="minorEastAsia" w:cstheme="minorEastAsia"/>
          <w:color w:val="auto"/>
          <w:sz w:val="21"/>
          <w:szCs w:val="24"/>
          <w:lang w:val="en-US" w:eastAsia="zh-CN"/>
        </w:rPr>
        <w:t>元整。</w:t>
      </w:r>
    </w:p>
    <w:p w14:paraId="2C87D131">
      <w:pPr>
        <w:spacing w:line="360" w:lineRule="auto"/>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eastAsia="zh-CN"/>
        </w:rPr>
        <w:t>（</w:t>
      </w:r>
      <w:r>
        <w:rPr>
          <w:rFonts w:hint="eastAsia" w:asciiTheme="minorEastAsia" w:hAnsiTheme="minorEastAsia" w:eastAsiaTheme="minorEastAsia" w:cstheme="minorEastAsia"/>
          <w:color w:val="auto"/>
          <w:kern w:val="0"/>
          <w:szCs w:val="24"/>
          <w:lang w:val="en-US" w:eastAsia="zh-CN"/>
        </w:rPr>
        <w:t>超过预算金额的报价为无效报价）</w:t>
      </w:r>
    </w:p>
    <w:p w14:paraId="2050F873">
      <w:pPr>
        <w:pStyle w:val="3"/>
        <w:spacing w:line="360" w:lineRule="auto"/>
        <w:rPr>
          <w:rFonts w:hint="eastAsia" w:asciiTheme="minorEastAsia" w:hAnsiTheme="minorEastAsia" w:eastAsiaTheme="minorEastAsia" w:cstheme="minorEastAsia"/>
          <w:b w:val="0"/>
          <w:color w:val="auto"/>
          <w:kern w:val="44"/>
          <w:sz w:val="24"/>
          <w:szCs w:val="24"/>
        </w:rPr>
      </w:pPr>
      <w:r>
        <w:rPr>
          <w:rFonts w:hint="eastAsia" w:asciiTheme="minorEastAsia" w:hAnsiTheme="minorEastAsia" w:eastAsiaTheme="minorEastAsia" w:cstheme="minorEastAsia"/>
          <w:b w:val="0"/>
          <w:color w:val="auto"/>
          <w:kern w:val="44"/>
          <w:sz w:val="24"/>
          <w:szCs w:val="24"/>
        </w:rPr>
        <w:t>2、定义</w:t>
      </w:r>
    </w:p>
    <w:p w14:paraId="0C31E62B">
      <w:pPr>
        <w:spacing w:line="360" w:lineRule="auto"/>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2.1“供应商”指向采购人递交响应文件的供应商。</w:t>
      </w:r>
    </w:p>
    <w:p w14:paraId="6FB00B24">
      <w:pPr>
        <w:spacing w:line="360" w:lineRule="auto"/>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2.2“采购人”指</w:t>
      </w:r>
      <w:r>
        <w:rPr>
          <w:rFonts w:hint="eastAsia" w:asciiTheme="minorEastAsia" w:hAnsiTheme="minorEastAsia" w:eastAsiaTheme="minorEastAsia" w:cstheme="minorEastAsia"/>
          <w:color w:val="auto"/>
          <w:kern w:val="0"/>
          <w:szCs w:val="24"/>
          <w:lang w:val="en-US" w:eastAsia="zh-CN"/>
        </w:rPr>
        <w:t>达州市水务局</w:t>
      </w:r>
      <w:r>
        <w:rPr>
          <w:rFonts w:hint="eastAsia" w:asciiTheme="minorEastAsia" w:hAnsiTheme="minorEastAsia" w:eastAsiaTheme="minorEastAsia" w:cstheme="minorEastAsia"/>
          <w:color w:val="auto"/>
          <w:kern w:val="44"/>
          <w:szCs w:val="24"/>
        </w:rPr>
        <w:t>。</w:t>
      </w:r>
    </w:p>
    <w:p w14:paraId="368486DE">
      <w:pPr>
        <w:spacing w:line="360" w:lineRule="auto"/>
        <w:rPr>
          <w:rFonts w:hint="eastAsia" w:asciiTheme="minorEastAsia" w:hAnsiTheme="minorEastAsia" w:eastAsiaTheme="minorEastAsia" w:cstheme="minorEastAsia"/>
          <w:b w:val="0"/>
          <w:color w:val="auto"/>
          <w:kern w:val="44"/>
          <w:sz w:val="24"/>
          <w:szCs w:val="24"/>
        </w:rPr>
      </w:pPr>
      <w:r>
        <w:rPr>
          <w:rFonts w:hint="eastAsia" w:asciiTheme="minorEastAsia" w:hAnsiTheme="minorEastAsia" w:eastAsiaTheme="minorEastAsia" w:cstheme="minorEastAsia"/>
          <w:b w:val="0"/>
          <w:color w:val="auto"/>
          <w:kern w:val="44"/>
          <w:sz w:val="24"/>
          <w:szCs w:val="24"/>
        </w:rPr>
        <w:t>3、合格的供应商</w:t>
      </w:r>
    </w:p>
    <w:p w14:paraId="1B33D3C1">
      <w:pPr>
        <w:spacing w:line="360" w:lineRule="auto"/>
        <w:rPr>
          <w:rFonts w:hint="eastAsia" w:asciiTheme="minorEastAsia" w:hAnsiTheme="minorEastAsia" w:eastAsiaTheme="minorEastAsia" w:cstheme="minorEastAsia"/>
          <w:color w:val="auto"/>
          <w:szCs w:val="24"/>
          <w:lang w:val="en-US" w:eastAsia="zh-CN"/>
        </w:rPr>
      </w:pPr>
      <w:bookmarkStart w:id="26" w:name="OLE_LINK11"/>
      <w:r>
        <w:rPr>
          <w:rFonts w:hint="eastAsia" w:asciiTheme="minorEastAsia" w:hAnsiTheme="minorEastAsia" w:eastAsiaTheme="minorEastAsia" w:cstheme="minorEastAsia"/>
          <w:color w:val="auto"/>
          <w:szCs w:val="24"/>
          <w:lang w:val="en-US" w:eastAsia="zh-CN"/>
        </w:rPr>
        <w:t>3.1符合《中华人民共和国政府采购法》第二十二条之规定。</w:t>
      </w:r>
    </w:p>
    <w:p w14:paraId="11E6FDCE">
      <w:pPr>
        <w:spacing w:line="360" w:lineRule="auto"/>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3.</w:t>
      </w:r>
      <w:r>
        <w:rPr>
          <w:rFonts w:hint="eastAsia" w:asciiTheme="minorEastAsia" w:hAnsiTheme="minorEastAsia" w:cstheme="minorEastAsia"/>
          <w:color w:val="auto"/>
          <w:szCs w:val="24"/>
          <w:lang w:val="en-US" w:eastAsia="zh-CN"/>
        </w:rPr>
        <w:t>1.1</w:t>
      </w:r>
      <w:r>
        <w:rPr>
          <w:rFonts w:hint="eastAsia" w:asciiTheme="minorEastAsia" w:hAnsiTheme="minorEastAsia" w:eastAsiaTheme="minorEastAsia" w:cstheme="minorEastAsia"/>
          <w:color w:val="auto"/>
          <w:szCs w:val="24"/>
          <w:lang w:val="en-US" w:eastAsia="zh-CN"/>
        </w:rPr>
        <w:t>应具有独立承担民事责任的能力。</w:t>
      </w:r>
    </w:p>
    <w:p w14:paraId="372C98C2">
      <w:pPr>
        <w:spacing w:line="360" w:lineRule="auto"/>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3.</w:t>
      </w:r>
      <w:r>
        <w:rPr>
          <w:rFonts w:hint="eastAsia" w:asciiTheme="minorEastAsia" w:hAnsiTheme="minorEastAsia" w:cstheme="minorEastAsia"/>
          <w:color w:val="auto"/>
          <w:szCs w:val="24"/>
          <w:lang w:val="en-US" w:eastAsia="zh-CN"/>
        </w:rPr>
        <w:t>1.2</w:t>
      </w:r>
      <w:r>
        <w:rPr>
          <w:rFonts w:hint="eastAsia" w:asciiTheme="minorEastAsia" w:hAnsiTheme="minorEastAsia" w:eastAsiaTheme="minorEastAsia" w:cstheme="minorEastAsia"/>
          <w:color w:val="auto"/>
          <w:szCs w:val="24"/>
          <w:lang w:val="en-US" w:eastAsia="zh-CN"/>
        </w:rPr>
        <w:t>应具有良好的商业信誉和健全的财务会计制度。</w:t>
      </w:r>
    </w:p>
    <w:p w14:paraId="59EC627B">
      <w:pPr>
        <w:spacing w:line="360" w:lineRule="auto"/>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3.</w:t>
      </w:r>
      <w:r>
        <w:rPr>
          <w:rFonts w:hint="eastAsia" w:asciiTheme="minorEastAsia" w:hAnsiTheme="minorEastAsia" w:cstheme="minorEastAsia"/>
          <w:color w:val="auto"/>
          <w:szCs w:val="24"/>
          <w:lang w:val="en-US" w:eastAsia="zh-CN"/>
        </w:rPr>
        <w:t>1.3</w:t>
      </w:r>
      <w:r>
        <w:rPr>
          <w:rFonts w:hint="eastAsia" w:asciiTheme="minorEastAsia" w:hAnsiTheme="minorEastAsia" w:eastAsiaTheme="minorEastAsia" w:cstheme="minorEastAsia"/>
          <w:color w:val="auto"/>
          <w:szCs w:val="24"/>
          <w:lang w:val="en-US" w:eastAsia="zh-CN"/>
        </w:rPr>
        <w:t>应</w:t>
      </w:r>
      <w:r>
        <w:rPr>
          <w:rFonts w:hint="eastAsia" w:asciiTheme="minorEastAsia" w:hAnsiTheme="minorEastAsia" w:eastAsiaTheme="minorEastAsia" w:cstheme="minorEastAsia"/>
          <w:color w:val="auto"/>
          <w:szCs w:val="24"/>
          <w:lang w:val="zh-CN" w:eastAsia="zh-CN"/>
        </w:rPr>
        <w:t>具有履行合同所必须的专业技术能力</w:t>
      </w:r>
      <w:r>
        <w:rPr>
          <w:rFonts w:hint="eastAsia" w:asciiTheme="minorEastAsia" w:hAnsiTheme="minorEastAsia" w:eastAsiaTheme="minorEastAsia" w:cstheme="minorEastAsia"/>
          <w:color w:val="auto"/>
          <w:szCs w:val="24"/>
          <w:lang w:val="en-US" w:eastAsia="zh-CN"/>
        </w:rPr>
        <w:t>。</w:t>
      </w:r>
    </w:p>
    <w:p w14:paraId="46504B61">
      <w:pPr>
        <w:spacing w:line="360" w:lineRule="auto"/>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3.</w:t>
      </w:r>
      <w:r>
        <w:rPr>
          <w:rFonts w:hint="eastAsia" w:asciiTheme="minorEastAsia" w:hAnsiTheme="minorEastAsia" w:cstheme="minorEastAsia"/>
          <w:color w:val="auto"/>
          <w:szCs w:val="24"/>
          <w:lang w:val="en-US" w:eastAsia="zh-CN"/>
        </w:rPr>
        <w:t>1.4</w:t>
      </w:r>
      <w:r>
        <w:rPr>
          <w:rFonts w:hint="eastAsia" w:asciiTheme="minorEastAsia" w:hAnsiTheme="minorEastAsia" w:eastAsiaTheme="minorEastAsia" w:cstheme="minorEastAsia"/>
          <w:color w:val="auto"/>
          <w:szCs w:val="24"/>
          <w:lang w:val="zh-CN" w:eastAsia="zh-CN"/>
        </w:rPr>
        <w:t>有依法缴纳税收和社会保障金的良好记录</w:t>
      </w:r>
      <w:r>
        <w:rPr>
          <w:rFonts w:hint="eastAsia" w:asciiTheme="minorEastAsia" w:hAnsiTheme="minorEastAsia" w:eastAsiaTheme="minorEastAsia" w:cstheme="minorEastAsia"/>
          <w:color w:val="auto"/>
          <w:szCs w:val="24"/>
          <w:lang w:val="en-US" w:eastAsia="zh-CN"/>
        </w:rPr>
        <w:t>。</w:t>
      </w:r>
    </w:p>
    <w:p w14:paraId="0E084B4C">
      <w:pPr>
        <w:spacing w:line="360" w:lineRule="auto"/>
        <w:rPr>
          <w:rFonts w:hint="eastAsia" w:asciiTheme="minorEastAsia" w:hAnsiTheme="minorEastAsia" w:eastAsiaTheme="minorEastAsia" w:cstheme="minorEastAsia"/>
          <w:color w:val="auto"/>
          <w:szCs w:val="24"/>
          <w:lang w:val="en-US" w:eastAsia="zh-CN"/>
        </w:rPr>
      </w:pPr>
      <w:bookmarkStart w:id="27" w:name="OLE_LINK12"/>
      <w:r>
        <w:rPr>
          <w:rFonts w:hint="eastAsia" w:asciiTheme="minorEastAsia" w:hAnsiTheme="minorEastAsia" w:eastAsiaTheme="minorEastAsia" w:cstheme="minorEastAsia"/>
          <w:color w:val="auto"/>
          <w:szCs w:val="24"/>
          <w:lang w:val="en-US" w:eastAsia="zh-CN"/>
        </w:rPr>
        <w:t>3.</w:t>
      </w:r>
      <w:r>
        <w:rPr>
          <w:rFonts w:hint="eastAsia" w:asciiTheme="minorEastAsia" w:hAnsiTheme="minorEastAsia" w:cstheme="minorEastAsia"/>
          <w:color w:val="auto"/>
          <w:szCs w:val="24"/>
          <w:lang w:val="en-US" w:eastAsia="zh-CN"/>
        </w:rPr>
        <w:t>1.5</w:t>
      </w:r>
      <w:r>
        <w:rPr>
          <w:rFonts w:hint="eastAsia" w:asciiTheme="minorEastAsia" w:hAnsiTheme="minorEastAsia" w:eastAsiaTheme="minorEastAsia" w:cstheme="minorEastAsia"/>
          <w:color w:val="auto"/>
          <w:szCs w:val="24"/>
          <w:lang w:val="zh-CN" w:eastAsia="zh-CN"/>
        </w:rPr>
        <w:t>参加政府采购活动前三年内，在经营</w:t>
      </w:r>
      <w:bookmarkEnd w:id="26"/>
      <w:r>
        <w:rPr>
          <w:rFonts w:hint="eastAsia" w:asciiTheme="minorEastAsia" w:hAnsiTheme="minorEastAsia" w:eastAsiaTheme="minorEastAsia" w:cstheme="minorEastAsia"/>
          <w:color w:val="auto"/>
          <w:szCs w:val="24"/>
          <w:lang w:val="zh-CN" w:eastAsia="zh-CN"/>
        </w:rPr>
        <w:t>活动中没有重大违法记录。</w:t>
      </w:r>
      <w:r>
        <w:rPr>
          <w:rFonts w:hint="eastAsia" w:asciiTheme="minorEastAsia" w:hAnsiTheme="minorEastAsia" w:eastAsiaTheme="minorEastAsia" w:cstheme="minorEastAsia"/>
          <w:color w:val="auto"/>
          <w:szCs w:val="24"/>
          <w:lang w:val="en-US" w:eastAsia="zh-CN"/>
        </w:rPr>
        <w:t xml:space="preserve">   </w:t>
      </w:r>
    </w:p>
    <w:p w14:paraId="34A94073">
      <w:pPr>
        <w:spacing w:line="360" w:lineRule="auto"/>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3.</w:t>
      </w:r>
      <w:r>
        <w:rPr>
          <w:rFonts w:hint="eastAsia" w:asciiTheme="minorEastAsia" w:hAnsiTheme="minorEastAsia" w:cstheme="minorEastAsia"/>
          <w:color w:val="auto"/>
          <w:szCs w:val="24"/>
          <w:lang w:val="en-US" w:eastAsia="zh-CN"/>
        </w:rPr>
        <w:t>1.6</w:t>
      </w:r>
      <w:r>
        <w:rPr>
          <w:rFonts w:hint="eastAsia" w:asciiTheme="minorEastAsia" w:hAnsiTheme="minorEastAsia" w:eastAsiaTheme="minorEastAsia" w:cstheme="minorEastAsia"/>
          <w:color w:val="auto"/>
          <w:szCs w:val="24"/>
          <w:lang w:val="en-US" w:eastAsia="zh-CN"/>
        </w:rPr>
        <w:t>法律、行政法规规定的其他条件。</w:t>
      </w:r>
    </w:p>
    <w:bookmarkEnd w:id="27"/>
    <w:p w14:paraId="727BDEB5">
      <w:pPr>
        <w:spacing w:line="360" w:lineRule="auto"/>
        <w:rPr>
          <w:rFonts w:hint="eastAsia" w:asciiTheme="minorEastAsia" w:hAnsiTheme="minorEastAsia" w:eastAsiaTheme="minorEastAsia" w:cstheme="minorEastAsia"/>
          <w:b w:val="0"/>
          <w:color w:val="auto"/>
          <w:kern w:val="44"/>
          <w:sz w:val="24"/>
          <w:szCs w:val="24"/>
          <w:lang w:val="en-US" w:eastAsia="zh-CN"/>
        </w:rPr>
      </w:pPr>
      <w:r>
        <w:rPr>
          <w:rFonts w:hint="eastAsia" w:asciiTheme="minorEastAsia" w:hAnsiTheme="minorEastAsia" w:eastAsiaTheme="minorEastAsia" w:cstheme="minorEastAsia"/>
          <w:b w:val="0"/>
          <w:color w:val="auto"/>
          <w:kern w:val="44"/>
          <w:sz w:val="24"/>
          <w:szCs w:val="24"/>
          <w:lang w:val="en-US" w:eastAsia="zh-CN"/>
        </w:rPr>
        <w:t>4、本项目不接受联合体参加磋商。</w:t>
      </w:r>
    </w:p>
    <w:p w14:paraId="41D26FBD">
      <w:pPr>
        <w:spacing w:line="360" w:lineRule="auto"/>
        <w:rPr>
          <w:rFonts w:hint="eastAsia" w:asciiTheme="minorEastAsia" w:hAnsiTheme="minorEastAsia" w:eastAsiaTheme="minorEastAsia" w:cstheme="minorEastAsia"/>
          <w:b w:val="0"/>
          <w:color w:val="auto"/>
          <w:kern w:val="44"/>
          <w:sz w:val="24"/>
          <w:szCs w:val="24"/>
          <w:lang w:val="en-US" w:eastAsia="zh-CN"/>
        </w:rPr>
      </w:pPr>
      <w:r>
        <w:rPr>
          <w:rFonts w:hint="eastAsia" w:asciiTheme="minorEastAsia" w:hAnsiTheme="minorEastAsia" w:eastAsiaTheme="minorEastAsia" w:cstheme="minorEastAsia"/>
          <w:b w:val="0"/>
          <w:color w:val="auto"/>
          <w:kern w:val="44"/>
          <w:sz w:val="24"/>
          <w:szCs w:val="24"/>
          <w:lang w:val="en-US" w:eastAsia="zh-CN"/>
        </w:rPr>
        <w:t>5、磋商费用</w:t>
      </w:r>
    </w:p>
    <w:p w14:paraId="437E7D22">
      <w:pPr>
        <w:spacing w:line="360" w:lineRule="auto"/>
        <w:rPr>
          <w:rFonts w:hint="eastAsia" w:asciiTheme="minorEastAsia" w:hAnsiTheme="minorEastAsia" w:eastAsiaTheme="minorEastAsia" w:cstheme="minorEastAsia"/>
          <w:b w:val="0"/>
          <w:bCs w:val="0"/>
          <w:color w:val="auto"/>
          <w:kern w:val="44"/>
          <w:szCs w:val="24"/>
        </w:rPr>
      </w:pPr>
      <w:r>
        <w:rPr>
          <w:rFonts w:hint="eastAsia" w:asciiTheme="minorEastAsia" w:hAnsiTheme="minorEastAsia" w:eastAsiaTheme="minorEastAsia" w:cstheme="minorEastAsia"/>
          <w:b w:val="0"/>
          <w:bCs w:val="0"/>
          <w:color w:val="auto"/>
          <w:kern w:val="44"/>
          <w:szCs w:val="24"/>
          <w:lang w:val="en-US" w:eastAsia="zh-CN"/>
        </w:rPr>
        <w:t>5</w:t>
      </w:r>
      <w:r>
        <w:rPr>
          <w:rFonts w:hint="eastAsia" w:asciiTheme="minorEastAsia" w:hAnsiTheme="minorEastAsia" w:eastAsiaTheme="minorEastAsia" w:cstheme="minorEastAsia"/>
          <w:b w:val="0"/>
          <w:bCs w:val="0"/>
          <w:color w:val="auto"/>
          <w:kern w:val="44"/>
          <w:szCs w:val="24"/>
        </w:rPr>
        <w:t>.1供应商应承担所有与准备和参加磋商有关的费用。不论磋商的结果如何，采购人均无义务和责任承担这些费用。</w:t>
      </w:r>
    </w:p>
    <w:p w14:paraId="4BBD7412">
      <w:pPr>
        <w:pStyle w:val="3"/>
        <w:spacing w:line="360" w:lineRule="auto"/>
        <w:jc w:val="center"/>
        <w:rPr>
          <w:rFonts w:hint="eastAsia" w:asciiTheme="minorEastAsia" w:hAnsiTheme="minorEastAsia" w:eastAsiaTheme="minorEastAsia" w:cstheme="minorEastAsia"/>
          <w:b/>
          <w:bCs/>
          <w:color w:val="auto"/>
          <w:kern w:val="44"/>
          <w:sz w:val="24"/>
          <w:szCs w:val="24"/>
        </w:rPr>
      </w:pPr>
      <w:r>
        <w:rPr>
          <w:rFonts w:hint="eastAsia" w:asciiTheme="minorEastAsia" w:hAnsiTheme="minorEastAsia" w:eastAsiaTheme="minorEastAsia" w:cstheme="minorEastAsia"/>
          <w:b/>
          <w:bCs/>
          <w:color w:val="auto"/>
          <w:kern w:val="44"/>
          <w:sz w:val="24"/>
          <w:szCs w:val="24"/>
        </w:rPr>
        <w:t>二   磋商文件</w:t>
      </w:r>
      <w:bookmarkEnd w:id="23"/>
      <w:bookmarkEnd w:id="24"/>
      <w:bookmarkEnd w:id="25"/>
    </w:p>
    <w:p w14:paraId="7A58C9E4">
      <w:pPr>
        <w:pStyle w:val="4"/>
        <w:spacing w:line="360" w:lineRule="auto"/>
        <w:rPr>
          <w:rFonts w:hint="eastAsia" w:asciiTheme="minorEastAsia" w:hAnsiTheme="minorEastAsia" w:eastAsiaTheme="minorEastAsia" w:cstheme="minorEastAsia"/>
          <w:b w:val="0"/>
          <w:color w:val="auto"/>
          <w:kern w:val="44"/>
          <w:sz w:val="24"/>
          <w:szCs w:val="24"/>
        </w:rPr>
      </w:pPr>
      <w:r>
        <w:rPr>
          <w:rFonts w:hint="eastAsia" w:asciiTheme="minorEastAsia" w:hAnsiTheme="minorEastAsia" w:eastAsiaTheme="minorEastAsia" w:cstheme="minorEastAsia"/>
          <w:b w:val="0"/>
          <w:color w:val="auto"/>
          <w:kern w:val="44"/>
          <w:sz w:val="24"/>
          <w:szCs w:val="24"/>
          <w:lang w:val="en-US" w:eastAsia="zh-CN"/>
        </w:rPr>
        <w:t>6</w:t>
      </w:r>
      <w:r>
        <w:rPr>
          <w:rFonts w:hint="eastAsia" w:asciiTheme="minorEastAsia" w:hAnsiTheme="minorEastAsia" w:eastAsiaTheme="minorEastAsia" w:cstheme="minorEastAsia"/>
          <w:b w:val="0"/>
          <w:color w:val="auto"/>
          <w:kern w:val="44"/>
          <w:sz w:val="24"/>
          <w:szCs w:val="24"/>
        </w:rPr>
        <w:t>、磋商文件构成</w:t>
      </w:r>
    </w:p>
    <w:p w14:paraId="020EF783">
      <w:pPr>
        <w:spacing w:line="360" w:lineRule="auto"/>
        <w:ind w:firstLine="525" w:firstLineChars="25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要求提供服务的内容及报价须知、合同条件等在《磋商文件》中均有说明。</w:t>
      </w:r>
    </w:p>
    <w:p w14:paraId="45D52775">
      <w:pPr>
        <w:spacing w:line="360" w:lineRule="auto"/>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《磋商文件》共</w:t>
      </w:r>
      <w:r>
        <w:rPr>
          <w:rFonts w:hint="eastAsia" w:asciiTheme="minorEastAsia" w:hAnsiTheme="minorEastAsia" w:cstheme="minorEastAsia"/>
          <w:color w:val="auto"/>
          <w:kern w:val="44"/>
          <w:szCs w:val="24"/>
          <w:lang w:eastAsia="zh-CN"/>
        </w:rPr>
        <w:t>五</w:t>
      </w:r>
      <w:r>
        <w:rPr>
          <w:rFonts w:hint="eastAsia" w:asciiTheme="minorEastAsia" w:hAnsiTheme="minorEastAsia" w:eastAsiaTheme="minorEastAsia" w:cstheme="minorEastAsia"/>
          <w:color w:val="auto"/>
          <w:kern w:val="44"/>
          <w:szCs w:val="24"/>
        </w:rPr>
        <w:t>部分，内容如下：</w:t>
      </w:r>
    </w:p>
    <w:p w14:paraId="771232CA">
      <w:pPr>
        <w:spacing w:line="360" w:lineRule="auto"/>
        <w:ind w:firstLine="495" w:firstLineChars="236"/>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第</w:t>
      </w:r>
      <w:r>
        <w:rPr>
          <w:rFonts w:hint="eastAsia" w:asciiTheme="minorEastAsia" w:hAnsiTheme="minorEastAsia" w:cstheme="minorEastAsia"/>
          <w:color w:val="auto"/>
          <w:kern w:val="44"/>
          <w:szCs w:val="24"/>
          <w:lang w:eastAsia="zh-CN"/>
        </w:rPr>
        <w:t>一</w:t>
      </w:r>
      <w:r>
        <w:rPr>
          <w:rFonts w:hint="eastAsia" w:asciiTheme="minorEastAsia" w:hAnsiTheme="minorEastAsia" w:eastAsiaTheme="minorEastAsia" w:cstheme="minorEastAsia"/>
          <w:color w:val="auto"/>
          <w:kern w:val="44"/>
          <w:szCs w:val="24"/>
        </w:rPr>
        <w:t>部分  供应商须知</w:t>
      </w:r>
    </w:p>
    <w:p w14:paraId="6F6FF5B1">
      <w:pPr>
        <w:spacing w:line="360" w:lineRule="auto"/>
        <w:ind w:firstLine="495" w:firstLineChars="236"/>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第</w:t>
      </w:r>
      <w:r>
        <w:rPr>
          <w:rFonts w:hint="eastAsia" w:asciiTheme="minorEastAsia" w:hAnsiTheme="minorEastAsia" w:cstheme="minorEastAsia"/>
          <w:color w:val="auto"/>
          <w:kern w:val="44"/>
          <w:szCs w:val="24"/>
          <w:lang w:eastAsia="zh-CN"/>
        </w:rPr>
        <w:t>二</w:t>
      </w:r>
      <w:r>
        <w:rPr>
          <w:rFonts w:hint="eastAsia" w:asciiTheme="minorEastAsia" w:hAnsiTheme="minorEastAsia" w:eastAsiaTheme="minorEastAsia" w:cstheme="minorEastAsia"/>
          <w:color w:val="auto"/>
          <w:kern w:val="44"/>
          <w:szCs w:val="24"/>
        </w:rPr>
        <w:t>部分  技术</w:t>
      </w:r>
      <w:r>
        <w:rPr>
          <w:rFonts w:hint="eastAsia" w:asciiTheme="minorEastAsia" w:hAnsiTheme="minorEastAsia" w:cstheme="minorEastAsia"/>
          <w:color w:val="auto"/>
          <w:kern w:val="44"/>
          <w:szCs w:val="24"/>
          <w:lang w:eastAsia="zh-CN"/>
        </w:rPr>
        <w:t>商务</w:t>
      </w:r>
      <w:r>
        <w:rPr>
          <w:rFonts w:hint="eastAsia" w:asciiTheme="minorEastAsia" w:hAnsiTheme="minorEastAsia" w:eastAsiaTheme="minorEastAsia" w:cstheme="minorEastAsia"/>
          <w:color w:val="auto"/>
          <w:kern w:val="44"/>
          <w:szCs w:val="24"/>
        </w:rPr>
        <w:t>需求</w:t>
      </w:r>
    </w:p>
    <w:p w14:paraId="1157DCD0">
      <w:pPr>
        <w:spacing w:line="360" w:lineRule="auto"/>
        <w:ind w:firstLine="495" w:firstLineChars="236"/>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第</w:t>
      </w:r>
      <w:r>
        <w:rPr>
          <w:rFonts w:hint="eastAsia" w:asciiTheme="minorEastAsia" w:hAnsiTheme="minorEastAsia" w:cstheme="minorEastAsia"/>
          <w:color w:val="auto"/>
          <w:kern w:val="44"/>
          <w:szCs w:val="24"/>
          <w:lang w:eastAsia="zh-CN"/>
        </w:rPr>
        <w:t>三</w:t>
      </w:r>
      <w:r>
        <w:rPr>
          <w:rFonts w:hint="eastAsia" w:asciiTheme="minorEastAsia" w:hAnsiTheme="minorEastAsia" w:eastAsiaTheme="minorEastAsia" w:cstheme="minorEastAsia"/>
          <w:color w:val="auto"/>
          <w:kern w:val="44"/>
          <w:szCs w:val="24"/>
        </w:rPr>
        <w:t>部分  评</w:t>
      </w:r>
      <w:r>
        <w:rPr>
          <w:rFonts w:hint="eastAsia" w:asciiTheme="minorEastAsia" w:hAnsiTheme="minorEastAsia" w:cstheme="minorEastAsia"/>
          <w:color w:val="auto"/>
          <w:kern w:val="44"/>
          <w:szCs w:val="24"/>
          <w:lang w:eastAsia="zh-CN"/>
        </w:rPr>
        <w:t>分</w:t>
      </w:r>
      <w:r>
        <w:rPr>
          <w:rFonts w:hint="eastAsia" w:asciiTheme="minorEastAsia" w:hAnsiTheme="minorEastAsia" w:eastAsiaTheme="minorEastAsia" w:cstheme="minorEastAsia"/>
          <w:color w:val="auto"/>
          <w:kern w:val="44"/>
          <w:szCs w:val="24"/>
        </w:rPr>
        <w:t>标准</w:t>
      </w:r>
    </w:p>
    <w:p w14:paraId="1C1AF1BD">
      <w:pPr>
        <w:spacing w:line="360" w:lineRule="auto"/>
        <w:ind w:firstLine="495" w:firstLineChars="236"/>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第</w:t>
      </w:r>
      <w:r>
        <w:rPr>
          <w:rFonts w:hint="eastAsia" w:asciiTheme="minorEastAsia" w:hAnsiTheme="minorEastAsia" w:cstheme="minorEastAsia"/>
          <w:color w:val="auto"/>
          <w:kern w:val="44"/>
          <w:szCs w:val="24"/>
          <w:lang w:eastAsia="zh-CN"/>
        </w:rPr>
        <w:t>四</w:t>
      </w:r>
      <w:r>
        <w:rPr>
          <w:rFonts w:hint="eastAsia" w:asciiTheme="minorEastAsia" w:hAnsiTheme="minorEastAsia" w:eastAsiaTheme="minorEastAsia" w:cstheme="minorEastAsia"/>
          <w:color w:val="auto"/>
          <w:kern w:val="44"/>
          <w:szCs w:val="24"/>
        </w:rPr>
        <w:t>部分  响应文件格式</w:t>
      </w:r>
    </w:p>
    <w:p w14:paraId="41073065">
      <w:pPr>
        <w:spacing w:line="360" w:lineRule="auto"/>
        <w:ind w:firstLine="495" w:firstLineChars="236"/>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第</w:t>
      </w:r>
      <w:r>
        <w:rPr>
          <w:rFonts w:hint="eastAsia" w:asciiTheme="minorEastAsia" w:hAnsiTheme="minorEastAsia" w:cstheme="minorEastAsia"/>
          <w:color w:val="auto"/>
          <w:kern w:val="44"/>
          <w:szCs w:val="24"/>
          <w:lang w:eastAsia="zh-CN"/>
        </w:rPr>
        <w:t>五</w:t>
      </w:r>
      <w:r>
        <w:rPr>
          <w:rFonts w:hint="eastAsia" w:asciiTheme="minorEastAsia" w:hAnsiTheme="minorEastAsia" w:eastAsiaTheme="minorEastAsia" w:cstheme="minorEastAsia"/>
          <w:color w:val="auto"/>
          <w:kern w:val="44"/>
          <w:szCs w:val="24"/>
        </w:rPr>
        <w:t>部分  合同文本</w:t>
      </w:r>
    </w:p>
    <w:p w14:paraId="3A2A18CC">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供应商应认真阅读《磋商文件》所有的事项、格式、条款和服务需求等。如供应商没有按照《磋商文件》要求提交全部资料，或者响应文件没有对《磋商文件》在各方面做出实质性响应是供应商的风险，并可能导致其响应被拒绝。</w:t>
      </w:r>
    </w:p>
    <w:p w14:paraId="70A38479">
      <w:pPr>
        <w:pStyle w:val="3"/>
        <w:spacing w:line="360" w:lineRule="auto"/>
        <w:jc w:val="center"/>
        <w:rPr>
          <w:rFonts w:hint="eastAsia" w:asciiTheme="minorEastAsia" w:hAnsiTheme="minorEastAsia" w:eastAsiaTheme="minorEastAsia" w:cstheme="minorEastAsia"/>
          <w:b/>
          <w:bCs/>
          <w:color w:val="auto"/>
          <w:kern w:val="44"/>
          <w:sz w:val="24"/>
          <w:szCs w:val="24"/>
        </w:rPr>
      </w:pPr>
      <w:bookmarkStart w:id="28" w:name="_Toc516367020"/>
      <w:bookmarkStart w:id="29" w:name="_Toc1333"/>
      <w:bookmarkStart w:id="30" w:name="_Toc449524477"/>
      <w:bookmarkStart w:id="31" w:name="_Toc520356150"/>
      <w:r>
        <w:rPr>
          <w:rFonts w:hint="eastAsia" w:asciiTheme="minorEastAsia" w:hAnsiTheme="minorEastAsia" w:eastAsiaTheme="minorEastAsia" w:cstheme="minorEastAsia"/>
          <w:b/>
          <w:bCs/>
          <w:color w:val="auto"/>
          <w:kern w:val="44"/>
          <w:sz w:val="24"/>
          <w:szCs w:val="24"/>
        </w:rPr>
        <w:t>三   响应文件</w:t>
      </w:r>
      <w:bookmarkEnd w:id="28"/>
      <w:r>
        <w:rPr>
          <w:rFonts w:hint="eastAsia" w:asciiTheme="minorEastAsia" w:hAnsiTheme="minorEastAsia" w:eastAsiaTheme="minorEastAsia" w:cstheme="minorEastAsia"/>
          <w:b/>
          <w:bCs/>
          <w:color w:val="auto"/>
          <w:kern w:val="44"/>
          <w:sz w:val="24"/>
          <w:szCs w:val="24"/>
        </w:rPr>
        <w:t>的编制</w:t>
      </w:r>
      <w:bookmarkEnd w:id="29"/>
      <w:bookmarkEnd w:id="30"/>
      <w:bookmarkEnd w:id="31"/>
    </w:p>
    <w:p w14:paraId="08B07968">
      <w:pPr>
        <w:pStyle w:val="4"/>
        <w:spacing w:line="360" w:lineRule="auto"/>
        <w:rPr>
          <w:rFonts w:hint="eastAsia" w:asciiTheme="minorEastAsia" w:hAnsiTheme="minorEastAsia" w:eastAsiaTheme="minorEastAsia" w:cstheme="minorEastAsia"/>
          <w:b w:val="0"/>
          <w:color w:val="auto"/>
          <w:kern w:val="44"/>
          <w:sz w:val="24"/>
          <w:szCs w:val="24"/>
        </w:rPr>
      </w:pPr>
      <w:bookmarkStart w:id="32" w:name="_Toc520356151"/>
      <w:bookmarkStart w:id="33" w:name="_Toc449524478"/>
      <w:bookmarkStart w:id="34" w:name="_Toc9254"/>
      <w:bookmarkStart w:id="35" w:name="_Toc516367021"/>
      <w:r>
        <w:rPr>
          <w:rFonts w:hint="eastAsia" w:asciiTheme="minorEastAsia" w:hAnsiTheme="minorEastAsia" w:eastAsiaTheme="minorEastAsia" w:cstheme="minorEastAsia"/>
          <w:b w:val="0"/>
          <w:color w:val="auto"/>
          <w:kern w:val="44"/>
          <w:sz w:val="24"/>
          <w:szCs w:val="24"/>
        </w:rPr>
        <w:t>7、报价范围及响应文件中计量单位的使用</w:t>
      </w:r>
      <w:bookmarkEnd w:id="32"/>
      <w:bookmarkEnd w:id="33"/>
      <w:bookmarkEnd w:id="34"/>
      <w:bookmarkEnd w:id="35"/>
    </w:p>
    <w:p w14:paraId="0E84A56C">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供应商应对《磋商文件》中所列的所有内容进行报价，不得只对部分内容进行报价。</w:t>
      </w:r>
    </w:p>
    <w:p w14:paraId="56C9E72E">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《响应文件》中所使用的计量单位，除《磋商文件》中有特殊要求外，应采用中华人民共和国法定计量单位。</w:t>
      </w:r>
    </w:p>
    <w:p w14:paraId="483C27FF">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响应文件构成:供应商应完整地按《磋商文件》第</w:t>
      </w:r>
      <w:r>
        <w:rPr>
          <w:rFonts w:hint="eastAsia" w:asciiTheme="minorEastAsia" w:hAnsiTheme="minorEastAsia" w:cstheme="minorEastAsia"/>
          <w:color w:val="auto"/>
          <w:kern w:val="44"/>
          <w:szCs w:val="24"/>
          <w:lang w:eastAsia="zh-CN"/>
        </w:rPr>
        <w:t>四</w:t>
      </w:r>
      <w:r>
        <w:rPr>
          <w:rFonts w:hint="eastAsia" w:asciiTheme="minorEastAsia" w:hAnsiTheme="minorEastAsia" w:eastAsiaTheme="minorEastAsia" w:cstheme="minorEastAsia"/>
          <w:color w:val="auto"/>
          <w:kern w:val="44"/>
          <w:szCs w:val="24"/>
        </w:rPr>
        <w:t>部分“响应文件格式”提供的响应文件格式填写《响应文件》。</w:t>
      </w:r>
    </w:p>
    <w:p w14:paraId="0D7504D9">
      <w:pPr>
        <w:spacing w:line="360" w:lineRule="auto"/>
        <w:ind w:firstLine="401" w:firstLineChars="191"/>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报价:所有报价均以人民币报价。供应商的报价应遵守《中华人民共和国价格法》。只能有一个报价。</w:t>
      </w:r>
    </w:p>
    <w:p w14:paraId="59AF6D12">
      <w:pPr>
        <w:pStyle w:val="4"/>
        <w:spacing w:line="360" w:lineRule="auto"/>
        <w:rPr>
          <w:rFonts w:hint="eastAsia" w:asciiTheme="minorEastAsia" w:hAnsiTheme="minorEastAsia" w:eastAsiaTheme="minorEastAsia" w:cstheme="minorEastAsia"/>
          <w:b w:val="0"/>
          <w:color w:val="auto"/>
          <w:kern w:val="44"/>
          <w:sz w:val="24"/>
          <w:szCs w:val="24"/>
        </w:rPr>
      </w:pPr>
      <w:r>
        <w:rPr>
          <w:rFonts w:hint="eastAsia" w:asciiTheme="minorEastAsia" w:hAnsiTheme="minorEastAsia" w:eastAsiaTheme="minorEastAsia" w:cstheme="minorEastAsia"/>
          <w:b w:val="0"/>
          <w:color w:val="auto"/>
          <w:kern w:val="44"/>
          <w:sz w:val="24"/>
          <w:szCs w:val="24"/>
        </w:rPr>
        <w:t>8、磋商保证金</w:t>
      </w:r>
    </w:p>
    <w:p w14:paraId="1DE51D0C">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磋商保证金：本项目需要供应商提交0元（大写：0万元）的磋商保证金；</w:t>
      </w:r>
    </w:p>
    <w:p w14:paraId="6FD5245C">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保证金形式：</w:t>
      </w:r>
    </w:p>
    <w:p w14:paraId="38D58F4F">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供应商应在响应文件截止前向采购代理机构提交磋商保证金，采购代理机构将同时出具相应的磋商保证金收据。对于未能按要求提交足额磋商保证金的响应文件，将被拒绝。</w:t>
      </w:r>
    </w:p>
    <w:p w14:paraId="38BF6952">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采购代理机构相关信息如下：</w:t>
      </w:r>
    </w:p>
    <w:p w14:paraId="0113EBC3">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账户名称：/</w:t>
      </w:r>
    </w:p>
    <w:p w14:paraId="3D78D467">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开户行：/</w:t>
      </w:r>
    </w:p>
    <w:p w14:paraId="2A5C20D3">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账号：/</w:t>
      </w:r>
    </w:p>
    <w:p w14:paraId="119DD3E2">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联系人：/</w:t>
      </w:r>
    </w:p>
    <w:p w14:paraId="7A0FFABB">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地址：/</w:t>
      </w:r>
    </w:p>
    <w:p w14:paraId="19535E89">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联系电话：/</w:t>
      </w:r>
    </w:p>
    <w:p w14:paraId="57215439">
      <w:pPr>
        <w:pStyle w:val="4"/>
        <w:spacing w:line="360" w:lineRule="auto"/>
        <w:rPr>
          <w:rFonts w:hint="eastAsia" w:asciiTheme="minorEastAsia" w:hAnsiTheme="minorEastAsia" w:eastAsiaTheme="minorEastAsia" w:cstheme="minorEastAsia"/>
          <w:b w:val="0"/>
          <w:color w:val="auto"/>
          <w:kern w:val="44"/>
          <w:sz w:val="24"/>
          <w:szCs w:val="24"/>
        </w:rPr>
      </w:pPr>
      <w:r>
        <w:rPr>
          <w:rFonts w:hint="eastAsia" w:asciiTheme="minorEastAsia" w:hAnsiTheme="minorEastAsia" w:eastAsiaTheme="minorEastAsia" w:cstheme="minorEastAsia"/>
          <w:b w:val="0"/>
          <w:color w:val="auto"/>
          <w:kern w:val="44"/>
          <w:sz w:val="24"/>
          <w:szCs w:val="24"/>
        </w:rPr>
        <w:t>9、响应文件有效期</w:t>
      </w:r>
    </w:p>
    <w:p w14:paraId="642DF73A">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响应文件应在规定的磋商日后的</w:t>
      </w:r>
      <w:r>
        <w:rPr>
          <w:rFonts w:hint="eastAsia" w:asciiTheme="minorEastAsia" w:hAnsiTheme="minorEastAsia" w:eastAsiaTheme="minorEastAsia" w:cstheme="minorEastAsia"/>
          <w:color w:val="auto"/>
          <w:kern w:val="44"/>
          <w:szCs w:val="24"/>
          <w:u w:val="single"/>
        </w:rPr>
        <w:t>90</w:t>
      </w:r>
      <w:r>
        <w:rPr>
          <w:rFonts w:hint="eastAsia" w:asciiTheme="minorEastAsia" w:hAnsiTheme="minorEastAsia" w:eastAsiaTheme="minorEastAsia" w:cstheme="minorEastAsia"/>
          <w:color w:val="auto"/>
          <w:kern w:val="44"/>
          <w:szCs w:val="24"/>
        </w:rPr>
        <w:t>天内保持有效，响应文件有效期不满足要求的《响应文件》将做无效处理。</w:t>
      </w:r>
    </w:p>
    <w:p w14:paraId="7EAD19C6">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采购人、采购代理机构可根据实际情况，在原响应文件有效期截止之前，要求供应商延长响应文件的有效期。接受该要求的供应商将不会被要求和允许修正其报价。上述要求和答复将以书面形式作出。</w:t>
      </w:r>
    </w:p>
    <w:p w14:paraId="62D00CCE">
      <w:pPr>
        <w:pStyle w:val="4"/>
        <w:spacing w:line="360" w:lineRule="auto"/>
        <w:rPr>
          <w:rFonts w:hint="eastAsia" w:asciiTheme="minorEastAsia" w:hAnsiTheme="minorEastAsia" w:eastAsiaTheme="minorEastAsia" w:cstheme="minorEastAsia"/>
          <w:b w:val="0"/>
          <w:color w:val="auto"/>
          <w:kern w:val="44"/>
          <w:sz w:val="24"/>
          <w:szCs w:val="24"/>
        </w:rPr>
      </w:pPr>
      <w:bookmarkStart w:id="36" w:name="_Toc520356158"/>
      <w:bookmarkStart w:id="37" w:name="_Toc449524481"/>
      <w:bookmarkStart w:id="38" w:name="_Toc7154"/>
      <w:r>
        <w:rPr>
          <w:rFonts w:hint="eastAsia" w:asciiTheme="minorEastAsia" w:hAnsiTheme="minorEastAsia" w:eastAsiaTheme="minorEastAsia" w:cstheme="minorEastAsia"/>
          <w:b w:val="0"/>
          <w:color w:val="auto"/>
          <w:kern w:val="44"/>
          <w:sz w:val="24"/>
          <w:szCs w:val="24"/>
        </w:rPr>
        <w:t>10、响应文件的签署</w:t>
      </w:r>
      <w:bookmarkEnd w:id="36"/>
      <w:r>
        <w:rPr>
          <w:rFonts w:hint="eastAsia" w:asciiTheme="minorEastAsia" w:hAnsiTheme="minorEastAsia" w:eastAsiaTheme="minorEastAsia" w:cstheme="minorEastAsia"/>
          <w:b w:val="0"/>
          <w:color w:val="auto"/>
          <w:kern w:val="44"/>
          <w:sz w:val="24"/>
          <w:szCs w:val="24"/>
        </w:rPr>
        <w:t>及规定</w:t>
      </w:r>
      <w:bookmarkEnd w:id="37"/>
      <w:bookmarkEnd w:id="38"/>
    </w:p>
    <w:p w14:paraId="5658006D">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供应商应准备《响应文件》正本</w:t>
      </w:r>
      <w:r>
        <w:rPr>
          <w:rFonts w:hint="eastAsia" w:asciiTheme="minorEastAsia" w:hAnsiTheme="minorEastAsia" w:eastAsiaTheme="minorEastAsia" w:cstheme="minorEastAsia"/>
          <w:color w:val="auto"/>
          <w:kern w:val="44"/>
          <w:szCs w:val="24"/>
          <w:u w:val="single"/>
        </w:rPr>
        <w:t>1</w:t>
      </w:r>
      <w:r>
        <w:rPr>
          <w:rFonts w:hint="eastAsia" w:asciiTheme="minorEastAsia" w:hAnsiTheme="minorEastAsia" w:eastAsiaTheme="minorEastAsia" w:cstheme="minorEastAsia"/>
          <w:color w:val="auto"/>
          <w:kern w:val="44"/>
          <w:szCs w:val="24"/>
        </w:rPr>
        <w:t>份和副本</w:t>
      </w:r>
      <w:r>
        <w:rPr>
          <w:rFonts w:hint="eastAsia" w:asciiTheme="minorEastAsia" w:hAnsiTheme="minorEastAsia" w:eastAsiaTheme="minorEastAsia" w:cstheme="minorEastAsia"/>
          <w:color w:val="auto"/>
          <w:kern w:val="44"/>
          <w:szCs w:val="24"/>
          <w:u w:val="single"/>
        </w:rPr>
        <w:t>2</w:t>
      </w:r>
      <w:r>
        <w:rPr>
          <w:rFonts w:hint="eastAsia" w:asciiTheme="minorEastAsia" w:hAnsiTheme="minorEastAsia" w:eastAsiaTheme="minorEastAsia" w:cstheme="minorEastAsia"/>
          <w:color w:val="auto"/>
          <w:kern w:val="44"/>
          <w:szCs w:val="24"/>
        </w:rPr>
        <w:t>份（A4幅面），每份《响应文件》须清楚地标明“正本”或“副本”。若正本和副本不符，以正本为准。</w:t>
      </w:r>
    </w:p>
    <w:p w14:paraId="1E4AFE1C">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响应文件》的正本须采用打印或用不褪色墨水书写，并编排目录及页码，《响应文件》须由供应商的法定代表人本人或经其正式授权的代表在响应文件封面处签字并加盖单位印章。授权代表须持有书面的“法定代表人授权书”（格式附后），并将其附在《响应文件》中。《响应文件》的副本可采用正本的复印件。</w:t>
      </w:r>
    </w:p>
    <w:p w14:paraId="750F23A4">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任何行间插字、涂改和增删，必须由法定代表人本人或授权代表本人签字或签章后才有效。</w:t>
      </w:r>
    </w:p>
    <w:p w14:paraId="4DB15135">
      <w:pPr>
        <w:spacing w:line="360" w:lineRule="auto"/>
        <w:ind w:firstLine="315" w:firstLineChars="15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《响应文件》因字迹潦草或表达不清所引起的后果由供应商负责。</w:t>
      </w:r>
    </w:p>
    <w:p w14:paraId="20A0752A">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本《磋商文件》中所要求的公章是指行政公章，加盖合同专用章、报价专用章等非行政公章的《响应文件》无效。</w:t>
      </w:r>
    </w:p>
    <w:p w14:paraId="3037389F">
      <w:pPr>
        <w:spacing w:line="360" w:lineRule="auto"/>
        <w:ind w:firstLine="420" w:firstLineChars="200"/>
        <w:rPr>
          <w:rFonts w:hint="eastAsia" w:ascii="方正仿宋_GBK" w:hAnsi="方正仿宋_GBK" w:eastAsia="方正仿宋_GBK" w:cs="方正仿宋_GBK"/>
          <w:color w:val="auto"/>
          <w:kern w:val="44"/>
          <w:szCs w:val="24"/>
        </w:rPr>
      </w:pPr>
      <w:r>
        <w:rPr>
          <w:rFonts w:hint="eastAsia" w:asciiTheme="minorEastAsia" w:hAnsiTheme="minorEastAsia" w:eastAsiaTheme="minorEastAsia" w:cstheme="minorEastAsia"/>
          <w:color w:val="auto"/>
          <w:kern w:val="44"/>
          <w:szCs w:val="24"/>
        </w:rPr>
        <w:t>每册采用左侧胶装方式装订，装订应牢固、不易拆散和换页，不得采用活页装订</w:t>
      </w:r>
      <w:r>
        <w:rPr>
          <w:rFonts w:hint="eastAsia" w:ascii="方正仿宋_GBK" w:hAnsi="方正仿宋_GBK" w:eastAsia="方正仿宋_GBK" w:cs="方正仿宋_GBK"/>
          <w:color w:val="auto"/>
          <w:kern w:val="44"/>
          <w:szCs w:val="24"/>
        </w:rPr>
        <w:t>。</w:t>
      </w:r>
    </w:p>
    <w:p w14:paraId="19C6E632">
      <w:pPr>
        <w:pStyle w:val="3"/>
        <w:spacing w:line="360" w:lineRule="auto"/>
        <w:jc w:val="center"/>
        <w:rPr>
          <w:rFonts w:hint="eastAsia" w:asciiTheme="minorEastAsia" w:hAnsiTheme="minorEastAsia" w:eastAsiaTheme="minorEastAsia" w:cstheme="minorEastAsia"/>
          <w:b/>
          <w:bCs/>
          <w:color w:val="auto"/>
          <w:kern w:val="44"/>
          <w:sz w:val="24"/>
          <w:szCs w:val="24"/>
        </w:rPr>
      </w:pPr>
      <w:bookmarkStart w:id="39" w:name="_Toc22687"/>
      <w:bookmarkStart w:id="40" w:name="_Toc520356159"/>
      <w:bookmarkStart w:id="41" w:name="_Toc449524482"/>
      <w:r>
        <w:rPr>
          <w:rFonts w:hint="eastAsia" w:asciiTheme="minorEastAsia" w:hAnsiTheme="minorEastAsia" w:eastAsiaTheme="minorEastAsia" w:cstheme="minorEastAsia"/>
          <w:b/>
          <w:bCs/>
          <w:color w:val="auto"/>
          <w:kern w:val="44"/>
          <w:sz w:val="24"/>
          <w:szCs w:val="24"/>
        </w:rPr>
        <w:t>四   响应文件的递交</w:t>
      </w:r>
      <w:bookmarkEnd w:id="39"/>
      <w:bookmarkEnd w:id="40"/>
      <w:bookmarkEnd w:id="41"/>
    </w:p>
    <w:p w14:paraId="60518C42">
      <w:pPr>
        <w:pStyle w:val="4"/>
        <w:spacing w:line="360" w:lineRule="auto"/>
        <w:rPr>
          <w:rFonts w:hint="eastAsia" w:asciiTheme="minorEastAsia" w:hAnsiTheme="minorEastAsia" w:eastAsiaTheme="minorEastAsia" w:cstheme="minorEastAsia"/>
          <w:b w:val="0"/>
          <w:color w:val="auto"/>
          <w:kern w:val="44"/>
          <w:sz w:val="24"/>
          <w:szCs w:val="24"/>
        </w:rPr>
      </w:pPr>
      <w:bookmarkStart w:id="42" w:name="_Toc21099"/>
      <w:bookmarkStart w:id="43" w:name="_Toc449524483"/>
      <w:bookmarkStart w:id="44" w:name="_Toc520356160"/>
      <w:r>
        <w:rPr>
          <w:rFonts w:hint="eastAsia" w:asciiTheme="minorEastAsia" w:hAnsiTheme="minorEastAsia" w:eastAsiaTheme="minorEastAsia" w:cstheme="minorEastAsia"/>
          <w:b w:val="0"/>
          <w:color w:val="auto"/>
          <w:kern w:val="44"/>
          <w:sz w:val="24"/>
          <w:szCs w:val="24"/>
        </w:rPr>
        <w:t>11、响应文件的密封和标记</w:t>
      </w:r>
      <w:bookmarkEnd w:id="42"/>
      <w:bookmarkEnd w:id="43"/>
      <w:bookmarkEnd w:id="44"/>
    </w:p>
    <w:p w14:paraId="3D116EB7">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送达《响应文件》时，供应商应将《响应文件》密封。《响应文件》正本和副本密封装在单独的信封中，且在封面标明“正本”“副本”字样</w:t>
      </w:r>
      <w:r>
        <w:rPr>
          <w:rFonts w:hint="eastAsia" w:asciiTheme="minorEastAsia" w:hAnsiTheme="minorEastAsia" w:cstheme="minorEastAsia"/>
          <w:color w:val="auto"/>
          <w:kern w:val="44"/>
          <w:szCs w:val="24"/>
          <w:lang w:eastAsia="zh-CN"/>
        </w:rPr>
        <w:t>；</w:t>
      </w:r>
      <w:r>
        <w:rPr>
          <w:rFonts w:hint="eastAsia" w:asciiTheme="minorEastAsia" w:hAnsiTheme="minorEastAsia" w:cstheme="minorEastAsia"/>
          <w:color w:val="auto"/>
          <w:kern w:val="44"/>
          <w:szCs w:val="24"/>
          <w:lang w:val="en-US" w:eastAsia="zh-CN"/>
        </w:rPr>
        <w:t>同时提交加盖鲜章后的响应文件扫描件（pdf格式）一份</w:t>
      </w:r>
      <w:r>
        <w:rPr>
          <w:rFonts w:hint="eastAsia" w:asciiTheme="minorEastAsia" w:hAnsiTheme="minorEastAsia" w:eastAsiaTheme="minorEastAsia" w:cstheme="minorEastAsia"/>
          <w:color w:val="auto"/>
          <w:kern w:val="44"/>
          <w:szCs w:val="24"/>
        </w:rPr>
        <w:t>。</w:t>
      </w:r>
    </w:p>
    <w:p w14:paraId="72A259A0">
      <w:pPr>
        <w:spacing w:line="360" w:lineRule="auto"/>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 xml:space="preserve"> 所有信封上均应：</w:t>
      </w:r>
    </w:p>
    <w:p w14:paraId="5E76F300">
      <w:pPr>
        <w:spacing w:line="360" w:lineRule="auto"/>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（1）标明项目名称、采购编号的字样。</w:t>
      </w:r>
    </w:p>
    <w:p w14:paraId="40E4C48C">
      <w:pPr>
        <w:spacing w:line="360" w:lineRule="auto"/>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（2）在信封的封装处加盖供应商单位公章并由法人或授权代表签字。</w:t>
      </w:r>
    </w:p>
    <w:p w14:paraId="0A5BFADD">
      <w:pPr>
        <w:spacing w:line="360" w:lineRule="auto"/>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（3）信封上还应写明供应商名称和地址，以便若其响应文件被宣布为“迟到”响应文件时，能原封退回。</w:t>
      </w:r>
    </w:p>
    <w:p w14:paraId="0BB6A68D">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如果供应商未按上述要求密封及加写标记，采购人或采购代理机构对《响应文件》的误投或过早启封概不负责。</w:t>
      </w:r>
    </w:p>
    <w:p w14:paraId="37CCA5D5">
      <w:pPr>
        <w:spacing w:line="360" w:lineRule="auto"/>
        <w:ind w:firstLine="422" w:firstLineChars="200"/>
        <w:rPr>
          <w:rFonts w:hint="eastAsia" w:asciiTheme="minorEastAsia" w:hAnsiTheme="minorEastAsia" w:eastAsiaTheme="minorEastAsia" w:cstheme="minorEastAsia"/>
          <w:b/>
          <w:bCs/>
          <w:color w:val="auto"/>
          <w:kern w:val="44"/>
          <w:szCs w:val="24"/>
        </w:rPr>
      </w:pPr>
      <w:bookmarkStart w:id="45" w:name="_Toc520356161"/>
      <w:r>
        <w:rPr>
          <w:rFonts w:hint="eastAsia" w:asciiTheme="minorEastAsia" w:hAnsiTheme="minorEastAsia" w:eastAsiaTheme="minorEastAsia" w:cstheme="minorEastAsia"/>
          <w:b/>
          <w:bCs/>
          <w:color w:val="auto"/>
          <w:kern w:val="44"/>
          <w:szCs w:val="24"/>
        </w:rPr>
        <w:t>响应文件送达截止</w:t>
      </w:r>
      <w:bookmarkEnd w:id="45"/>
      <w:r>
        <w:rPr>
          <w:rFonts w:hint="eastAsia" w:asciiTheme="minorEastAsia" w:hAnsiTheme="minorEastAsia" w:eastAsiaTheme="minorEastAsia" w:cstheme="minorEastAsia"/>
          <w:b/>
          <w:bCs/>
          <w:color w:val="auto"/>
          <w:kern w:val="44"/>
          <w:szCs w:val="24"/>
        </w:rPr>
        <w:t>期：</w:t>
      </w:r>
    </w:p>
    <w:p w14:paraId="7F929886">
      <w:pPr>
        <w:spacing w:line="360" w:lineRule="auto"/>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（1）供应商应在磋商文件中规定的《响应文件》送达截止日期和时间内，将《响应文件》递交到指定地点。</w:t>
      </w:r>
    </w:p>
    <w:p w14:paraId="31762333">
      <w:pPr>
        <w:spacing w:line="360" w:lineRule="auto"/>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2）采购人、采购代理机构有权按本须知的规定，通过修改《磋商文件》延长响应文件送达截止日期和时间。在此情况下，采购人、采购代理机构和供应商受截止日期和时间制约的所有权利和义务均应延长至新的截止日期和时间。</w:t>
      </w:r>
    </w:p>
    <w:p w14:paraId="2FF5FC13">
      <w:pPr>
        <w:spacing w:line="360" w:lineRule="auto"/>
        <w:rPr>
          <w:rFonts w:hint="eastAsia" w:ascii="方正仿宋_GBK" w:hAnsi="方正仿宋_GBK" w:eastAsia="方正仿宋_GBK" w:cs="方正仿宋_GBK"/>
          <w:color w:val="auto"/>
          <w:kern w:val="44"/>
          <w:szCs w:val="24"/>
        </w:rPr>
      </w:pPr>
      <w:r>
        <w:rPr>
          <w:rFonts w:hint="eastAsia" w:asciiTheme="minorEastAsia" w:hAnsiTheme="minorEastAsia" w:eastAsiaTheme="minorEastAsia" w:cstheme="minorEastAsia"/>
          <w:color w:val="auto"/>
          <w:kern w:val="44"/>
          <w:szCs w:val="24"/>
        </w:rPr>
        <w:t>（3）采购人、采购代理机构将拒绝并原封退回在本须知规定的《响应文件》送达截止日期和时间后收到的任何《响应文件》。</w:t>
      </w:r>
    </w:p>
    <w:p w14:paraId="7B0B6D86">
      <w:pPr>
        <w:pStyle w:val="3"/>
        <w:spacing w:line="360" w:lineRule="auto"/>
        <w:jc w:val="center"/>
        <w:rPr>
          <w:rFonts w:hint="eastAsia" w:asciiTheme="minorEastAsia" w:hAnsiTheme="minorEastAsia" w:eastAsiaTheme="minorEastAsia" w:cstheme="minorEastAsia"/>
          <w:b/>
          <w:bCs/>
          <w:color w:val="auto"/>
          <w:kern w:val="44"/>
          <w:sz w:val="24"/>
          <w:szCs w:val="24"/>
        </w:rPr>
      </w:pPr>
      <w:bookmarkStart w:id="46" w:name="_Toc520356163"/>
      <w:bookmarkStart w:id="47" w:name="_Toc449524484"/>
      <w:bookmarkStart w:id="48" w:name="_Toc13629"/>
      <w:r>
        <w:rPr>
          <w:rFonts w:hint="eastAsia" w:asciiTheme="minorEastAsia" w:hAnsiTheme="minorEastAsia" w:eastAsiaTheme="minorEastAsia" w:cstheme="minorEastAsia"/>
          <w:b/>
          <w:bCs/>
          <w:color w:val="auto"/>
          <w:kern w:val="44"/>
          <w:sz w:val="24"/>
          <w:szCs w:val="24"/>
        </w:rPr>
        <w:t>五   磋商</w:t>
      </w:r>
      <w:bookmarkEnd w:id="46"/>
      <w:r>
        <w:rPr>
          <w:rFonts w:hint="eastAsia" w:asciiTheme="minorEastAsia" w:hAnsiTheme="minorEastAsia" w:eastAsiaTheme="minorEastAsia" w:cstheme="minorEastAsia"/>
          <w:b/>
          <w:bCs/>
          <w:color w:val="auto"/>
          <w:kern w:val="44"/>
          <w:sz w:val="24"/>
          <w:szCs w:val="24"/>
        </w:rPr>
        <w:t>及评审</w:t>
      </w:r>
      <w:bookmarkEnd w:id="47"/>
      <w:bookmarkEnd w:id="48"/>
    </w:p>
    <w:p w14:paraId="53377C26">
      <w:pPr>
        <w:pStyle w:val="4"/>
        <w:spacing w:line="360" w:lineRule="auto"/>
        <w:rPr>
          <w:rFonts w:hint="eastAsia" w:asciiTheme="minorEastAsia" w:hAnsiTheme="minorEastAsia" w:eastAsiaTheme="minorEastAsia" w:cstheme="minorEastAsia"/>
          <w:b w:val="0"/>
          <w:color w:val="auto"/>
          <w:kern w:val="44"/>
          <w:sz w:val="24"/>
          <w:szCs w:val="24"/>
        </w:rPr>
      </w:pPr>
      <w:bookmarkStart w:id="49" w:name="_Toc15644"/>
      <w:bookmarkStart w:id="50" w:name="_Toc449524485"/>
      <w:r>
        <w:rPr>
          <w:rFonts w:hint="eastAsia" w:asciiTheme="minorEastAsia" w:hAnsiTheme="minorEastAsia" w:eastAsiaTheme="minorEastAsia" w:cstheme="minorEastAsia"/>
          <w:b w:val="0"/>
          <w:color w:val="auto"/>
          <w:kern w:val="44"/>
          <w:sz w:val="24"/>
          <w:szCs w:val="24"/>
        </w:rPr>
        <w:t>12、送达响应文件</w:t>
      </w:r>
      <w:bookmarkEnd w:id="49"/>
      <w:bookmarkEnd w:id="50"/>
    </w:p>
    <w:p w14:paraId="0619C842">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采购人、采购代理机构应当按磋商文件的规定，在《响应文件》送达截止时间的同一时间和预先确定的地点组织磋商活动，并邀请所有供应商代表参加。供应商代表应签名报到以证明其出席，</w:t>
      </w:r>
      <w:r>
        <w:rPr>
          <w:rFonts w:hint="eastAsia" w:asciiTheme="minorEastAsia" w:hAnsiTheme="minorEastAsia" w:eastAsiaTheme="minorEastAsia" w:cstheme="minorEastAsia"/>
          <w:color w:val="auto"/>
          <w:szCs w:val="24"/>
        </w:rPr>
        <w:t>同时授权代表须持有书面的“法人代表授权书复印件（加盖公章、法人章）”，“法定代表人身份证复印件（加盖公章、法人章）”，“授权代表身份证原件及复印件（加盖公章）”。</w:t>
      </w:r>
      <w:bookmarkStart w:id="51" w:name="_Toc520356165"/>
    </w:p>
    <w:bookmarkEnd w:id="51"/>
    <w:p w14:paraId="1737328F">
      <w:pPr>
        <w:pStyle w:val="4"/>
        <w:spacing w:line="360" w:lineRule="auto"/>
        <w:rPr>
          <w:rFonts w:hint="eastAsia" w:asciiTheme="minorEastAsia" w:hAnsiTheme="minorEastAsia" w:eastAsiaTheme="minorEastAsia" w:cstheme="minorEastAsia"/>
          <w:b w:val="0"/>
          <w:color w:val="auto"/>
          <w:kern w:val="44"/>
          <w:sz w:val="24"/>
          <w:szCs w:val="24"/>
        </w:rPr>
      </w:pPr>
      <w:r>
        <w:rPr>
          <w:rFonts w:hint="eastAsia" w:asciiTheme="minorEastAsia" w:hAnsiTheme="minorEastAsia" w:eastAsiaTheme="minorEastAsia" w:cstheme="minorEastAsia"/>
          <w:b w:val="0"/>
          <w:color w:val="auto"/>
          <w:kern w:val="44"/>
          <w:sz w:val="24"/>
          <w:szCs w:val="24"/>
        </w:rPr>
        <w:t>13、组建磋商小组</w:t>
      </w:r>
    </w:p>
    <w:p w14:paraId="04DD7F9F">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磋商小组由</w:t>
      </w:r>
      <w:r>
        <w:rPr>
          <w:rFonts w:hint="eastAsia" w:asciiTheme="minorEastAsia" w:hAnsiTheme="minorEastAsia" w:eastAsiaTheme="minorEastAsia" w:cstheme="minorEastAsia"/>
          <w:color w:val="auto"/>
          <w:kern w:val="44"/>
          <w:szCs w:val="24"/>
          <w:lang w:val="en-US" w:eastAsia="zh-CN"/>
        </w:rPr>
        <w:t>采购人组建</w:t>
      </w:r>
      <w:r>
        <w:rPr>
          <w:rFonts w:hint="eastAsia" w:asciiTheme="minorEastAsia" w:hAnsiTheme="minorEastAsia" w:eastAsiaTheme="minorEastAsia" w:cstheme="minorEastAsia"/>
          <w:color w:val="auto"/>
          <w:kern w:val="44"/>
          <w:szCs w:val="24"/>
        </w:rPr>
        <w:t>三人或以上单数评审专家组成。</w:t>
      </w:r>
    </w:p>
    <w:p w14:paraId="4D45264F">
      <w:pPr>
        <w:pStyle w:val="4"/>
        <w:spacing w:line="360" w:lineRule="auto"/>
        <w:rPr>
          <w:rFonts w:hint="eastAsia" w:asciiTheme="minorEastAsia" w:hAnsiTheme="minorEastAsia" w:eastAsiaTheme="minorEastAsia" w:cstheme="minorEastAsia"/>
          <w:b w:val="0"/>
          <w:color w:val="auto"/>
          <w:kern w:val="44"/>
          <w:sz w:val="24"/>
          <w:szCs w:val="24"/>
        </w:rPr>
      </w:pPr>
      <w:bookmarkStart w:id="52" w:name="_Toc520356166"/>
      <w:r>
        <w:rPr>
          <w:rFonts w:hint="eastAsia" w:asciiTheme="minorEastAsia" w:hAnsiTheme="minorEastAsia" w:eastAsiaTheme="minorEastAsia" w:cstheme="minorEastAsia"/>
          <w:b w:val="0"/>
          <w:color w:val="auto"/>
          <w:kern w:val="44"/>
          <w:sz w:val="24"/>
          <w:szCs w:val="24"/>
        </w:rPr>
        <w:t>14、响应文件的初审</w:t>
      </w:r>
      <w:bookmarkEnd w:id="52"/>
    </w:p>
    <w:p w14:paraId="22221F65">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磋商小组将审查《响应文件》是否完整、总体编排是否有序、文件签署是否合格、有无计算上的错误等。</w:t>
      </w:r>
    </w:p>
    <w:p w14:paraId="40813CF8">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14:paraId="6A389B9F">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在详细评审之前，根据本须知的规定，磋商小组要审查每份《响应文件》是否实质上响应了《磋商文件》的要求。实质上响应的报价应该是与《磋商文件》要求的实质性条款、条件和需求相符，没有重大偏离的报价。实质性响应条款以“★”形式在《磋商文件》中标注。不满足实质性条款要求的《响应文件》将视为无效。磋商小组决定报价的响应性只根据响应文件本身的内容，而不寻求外部的证据。</w:t>
      </w:r>
    </w:p>
    <w:p w14:paraId="7620AC78">
      <w:pPr>
        <w:spacing w:line="360" w:lineRule="auto"/>
        <w:ind w:firstLine="420" w:firstLineChars="200"/>
        <w:rPr>
          <w:rFonts w:hint="eastAsia" w:asciiTheme="minorEastAsia" w:hAnsiTheme="minorEastAsia" w:eastAsiaTheme="minorEastAsia" w:cstheme="minorEastAsia"/>
          <w:color w:val="auto"/>
          <w:kern w:val="44"/>
          <w:szCs w:val="24"/>
        </w:rPr>
      </w:pPr>
      <w:bookmarkStart w:id="53" w:name="_Toc520356167"/>
      <w:r>
        <w:rPr>
          <w:rFonts w:hint="eastAsia" w:asciiTheme="minorEastAsia" w:hAnsiTheme="minorEastAsia" w:eastAsiaTheme="minorEastAsia" w:cstheme="minorEastAsia"/>
          <w:color w:val="auto"/>
          <w:kern w:val="44"/>
          <w:szCs w:val="24"/>
        </w:rPr>
        <w:t>供应商不得通过修正或撤销不符合要求的偏离或保留从而使其报价成为实质上响应的报价。如发现下列情况之一的，其响应文件及报价将被视为无效：</w:t>
      </w:r>
    </w:p>
    <w:p w14:paraId="229D97E6">
      <w:pPr>
        <w:spacing w:line="360" w:lineRule="auto"/>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★（1</w:t>
      </w:r>
      <w:r>
        <w:rPr>
          <w:rFonts w:hint="eastAsia" w:asciiTheme="minorEastAsia" w:hAnsiTheme="minorEastAsia" w:eastAsiaTheme="minorEastAsia" w:cstheme="minorEastAsia"/>
          <w:color w:val="auto"/>
          <w:kern w:val="44"/>
          <w:szCs w:val="24"/>
          <w:lang w:eastAsia="zh-CN"/>
        </w:rPr>
        <w:t>）</w:t>
      </w:r>
      <w:r>
        <w:rPr>
          <w:rFonts w:hint="eastAsia" w:asciiTheme="minorEastAsia" w:hAnsiTheme="minorEastAsia" w:eastAsiaTheme="minorEastAsia" w:cstheme="minorEastAsia"/>
          <w:color w:val="auto"/>
          <w:kern w:val="44"/>
          <w:szCs w:val="24"/>
        </w:rPr>
        <w:t>在《响应文件》送达截止日期和时间后送达的《响应文件》；</w:t>
      </w:r>
    </w:p>
    <w:p w14:paraId="025EF315">
      <w:pPr>
        <w:spacing w:line="360" w:lineRule="auto"/>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★（2）不具备《磋商文件》中规定资格要求的；</w:t>
      </w:r>
    </w:p>
    <w:p w14:paraId="333C718E">
      <w:pPr>
        <w:spacing w:line="360" w:lineRule="auto"/>
        <w:ind w:firstLine="210" w:firstLineChars="1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（3）《响应文件》中提供虚假或失实资料的；</w:t>
      </w:r>
    </w:p>
    <w:p w14:paraId="7FE02533">
      <w:pPr>
        <w:spacing w:line="360" w:lineRule="auto"/>
        <w:ind w:firstLine="210" w:firstLineChars="1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（4）不符合法律、法规和《磋商文件》中规定的其他实质性要求的。</w:t>
      </w:r>
    </w:p>
    <w:p w14:paraId="0C4FA248">
      <w:pPr>
        <w:pStyle w:val="4"/>
        <w:spacing w:line="360" w:lineRule="auto"/>
        <w:rPr>
          <w:rFonts w:hint="eastAsia" w:asciiTheme="minorEastAsia" w:hAnsiTheme="minorEastAsia" w:eastAsiaTheme="minorEastAsia" w:cstheme="minorEastAsia"/>
          <w:b w:val="0"/>
          <w:color w:val="auto"/>
          <w:kern w:val="44"/>
          <w:sz w:val="24"/>
          <w:szCs w:val="24"/>
        </w:rPr>
      </w:pPr>
      <w:bookmarkStart w:id="54" w:name="_Toc449524486"/>
      <w:bookmarkStart w:id="55" w:name="_Toc29102"/>
      <w:r>
        <w:rPr>
          <w:rFonts w:hint="eastAsia" w:asciiTheme="minorEastAsia" w:hAnsiTheme="minorEastAsia" w:eastAsiaTheme="minorEastAsia" w:cstheme="minorEastAsia"/>
          <w:b w:val="0"/>
          <w:color w:val="auto"/>
          <w:kern w:val="44"/>
          <w:sz w:val="24"/>
          <w:szCs w:val="24"/>
        </w:rPr>
        <w:t>15、响应文件的澄清</w:t>
      </w:r>
      <w:bookmarkEnd w:id="54"/>
      <w:bookmarkEnd w:id="55"/>
    </w:p>
    <w:p w14:paraId="11A67259">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在评审期间，磋商小组有权要求供应商对其《响应文件》中含义不明确、对同类问题表述不一致或者有明显文字和计算错误的内容作必要的澄清、说明或者更正。</w:t>
      </w:r>
    </w:p>
    <w:p w14:paraId="56D2AF1F">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供应商澄清、说明或者更正响应文件应当以书面形式作出，且不得超出《响应文件》的范围或者改变《响应文件》的实质性内容。供应商的澄清、说明或者更正应当由法定代表人本人或其授权代表本人签字或签章并加盖公章。由授权代表签字的，应当附法定代表人授权书。供应商为自然人的，应当由本人签字并附身份证明。</w:t>
      </w:r>
    </w:p>
    <w:p w14:paraId="0B34D21F">
      <w:pPr>
        <w:pStyle w:val="4"/>
        <w:spacing w:line="360" w:lineRule="auto"/>
        <w:rPr>
          <w:rFonts w:hint="eastAsia" w:asciiTheme="minorEastAsia" w:hAnsiTheme="minorEastAsia" w:eastAsiaTheme="minorEastAsia" w:cstheme="minorEastAsia"/>
          <w:b w:val="0"/>
          <w:color w:val="auto"/>
          <w:kern w:val="44"/>
          <w:sz w:val="24"/>
          <w:szCs w:val="24"/>
        </w:rPr>
      </w:pPr>
      <w:bookmarkStart w:id="56" w:name="_Toc6106"/>
      <w:bookmarkStart w:id="57" w:name="_Toc449524487"/>
      <w:r>
        <w:rPr>
          <w:rFonts w:hint="eastAsia" w:asciiTheme="minorEastAsia" w:hAnsiTheme="minorEastAsia" w:eastAsiaTheme="minorEastAsia" w:cstheme="minorEastAsia"/>
          <w:b w:val="0"/>
          <w:color w:val="auto"/>
          <w:kern w:val="44"/>
          <w:sz w:val="24"/>
          <w:szCs w:val="24"/>
        </w:rPr>
        <w:t>16、磋商</w:t>
      </w:r>
      <w:bookmarkEnd w:id="56"/>
      <w:bookmarkEnd w:id="57"/>
    </w:p>
    <w:p w14:paraId="5F91A711">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磋商小组所有成员集中与单一供应商分别进行磋商，并给予所有参加磋商的供应商平等的磋商机会。</w:t>
      </w:r>
    </w:p>
    <w:p w14:paraId="0DBA6D87">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在磋商中，磋商的任何一方不得透露与磋商有关的其他供应商的服务方案、价格和其他信息。</w:t>
      </w:r>
    </w:p>
    <w:p w14:paraId="76C2D40B">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磋商小组可以根据《磋商文件》和磋商情况实质性变动采购需求中的服务要求以及合同条款。对《磋商文件》作出的实质性变动是《磋商文件》的有效组成部分，磋商小组将及时以书面形式同时通知所有参加磋商的供应商。</w:t>
      </w:r>
    </w:p>
    <w:p w14:paraId="7FEF82F5">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供应商应当按照《磋商文件》的变动情况和磋商小组的要求重新提交《响应文件》，并由其法定代表人本人或授权代表签字或签章并加盖公章。由授权代表签字的，应当附法定代表人授权书。供应商为自然人的，应当由本人签字并附身份证明。</w:t>
      </w:r>
    </w:p>
    <w:p w14:paraId="3203EBD9">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磋商小组根据项目情况可进行一轮或多轮磋商。每轮磋商结束后，磋商小组应当要求所有参加磋商的供应商在规定时间内（一般以每轮磋商结束后半小时内）进行报价。最后报价以最后一轮磋商结束后的报价为准。</w:t>
      </w:r>
    </w:p>
    <w:p w14:paraId="4683C68F">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如果未在规定时间内进行报价，则以上轮磋商的报价作为最后报价（进行一轮磋商</w:t>
      </w:r>
      <w:bookmarkEnd w:id="53"/>
      <w:r>
        <w:rPr>
          <w:rFonts w:hint="eastAsia" w:asciiTheme="minorEastAsia" w:hAnsiTheme="minorEastAsia" w:eastAsiaTheme="minorEastAsia" w:cstheme="minorEastAsia"/>
          <w:color w:val="auto"/>
          <w:kern w:val="44"/>
          <w:szCs w:val="24"/>
        </w:rPr>
        <w:t>的，以其报价为准）。</w:t>
      </w:r>
    </w:p>
    <w:p w14:paraId="26C633E2">
      <w:pPr>
        <w:pStyle w:val="4"/>
        <w:spacing w:line="360" w:lineRule="auto"/>
        <w:rPr>
          <w:rFonts w:hint="eastAsia" w:asciiTheme="minorEastAsia" w:hAnsiTheme="minorEastAsia" w:eastAsiaTheme="minorEastAsia" w:cstheme="minorEastAsia"/>
          <w:b w:val="0"/>
          <w:color w:val="auto"/>
          <w:kern w:val="44"/>
          <w:sz w:val="24"/>
          <w:szCs w:val="24"/>
        </w:rPr>
      </w:pPr>
      <w:bookmarkStart w:id="58" w:name="_Toc8287"/>
      <w:bookmarkStart w:id="59" w:name="_Toc449524488"/>
      <w:r>
        <w:rPr>
          <w:rFonts w:hint="eastAsia" w:asciiTheme="minorEastAsia" w:hAnsiTheme="minorEastAsia" w:eastAsiaTheme="minorEastAsia" w:cstheme="minorEastAsia"/>
          <w:b w:val="0"/>
          <w:color w:val="auto"/>
          <w:kern w:val="44"/>
          <w:sz w:val="24"/>
          <w:szCs w:val="24"/>
        </w:rPr>
        <w:t>17、评审</w:t>
      </w:r>
      <w:bookmarkEnd w:id="58"/>
      <w:bookmarkEnd w:id="59"/>
    </w:p>
    <w:p w14:paraId="28F45FA3">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初步评审合格的响应文件，经磋商确定最终采购需求和提交最后报价的供应商后，磋商小组将根据《磋商文件》确定的评审原则和方法，对其</w:t>
      </w:r>
      <w:r>
        <w:rPr>
          <w:rFonts w:hint="eastAsia" w:asciiTheme="minorEastAsia" w:hAnsiTheme="minorEastAsia" w:cstheme="minorEastAsia"/>
          <w:color w:val="auto"/>
          <w:kern w:val="44"/>
          <w:szCs w:val="24"/>
          <w:lang w:eastAsia="zh-CN"/>
        </w:rPr>
        <w:t>技术</w:t>
      </w:r>
      <w:r>
        <w:rPr>
          <w:rFonts w:hint="eastAsia" w:asciiTheme="minorEastAsia" w:hAnsiTheme="minorEastAsia" w:eastAsiaTheme="minorEastAsia" w:cstheme="minorEastAsia"/>
          <w:color w:val="auto"/>
          <w:kern w:val="44"/>
          <w:szCs w:val="24"/>
        </w:rPr>
        <w:t xml:space="preserve">部分和商务部分作进一步的评审和比较。 </w:t>
      </w:r>
    </w:p>
    <w:p w14:paraId="526BFDB0">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磋商小组采用综合评分法对提交最后报价的供应商的响应文件和最后报价进行综合评分。</w:t>
      </w:r>
    </w:p>
    <w:p w14:paraId="1B219A05">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综合评分法，是指《响应文件》满足《磋商文件》全部实质性要求且按评审因素的量化指标评审得分最高的供应商为成交候选供应商的评审方法。</w:t>
      </w:r>
    </w:p>
    <w:p w14:paraId="66F69501">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综合评分法中的价格分统一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asciiTheme="minorEastAsia" w:hAnsiTheme="minorEastAsia" w:eastAsiaTheme="minorEastAsia" w:cstheme="minorEastAsia"/>
          <w:color w:val="auto"/>
          <w:kern w:val="44"/>
          <w:szCs w:val="24"/>
          <w:lang w:val="en-US" w:eastAsia="zh-CN"/>
        </w:rPr>
        <w:t>10</w:t>
      </w:r>
      <w:r>
        <w:rPr>
          <w:rFonts w:hint="eastAsia" w:asciiTheme="minorEastAsia" w:hAnsiTheme="minorEastAsia" w:eastAsiaTheme="minorEastAsia" w:cstheme="minorEastAsia"/>
          <w:color w:val="auto"/>
          <w:kern w:val="44"/>
          <w:szCs w:val="24"/>
        </w:rPr>
        <w:t>。</w:t>
      </w:r>
    </w:p>
    <w:p w14:paraId="0BEBC4A2">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注：最低报价不作为成交保证。</w:t>
      </w:r>
    </w:p>
    <w:p w14:paraId="5BAAE7C8">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磋商过程中，如果磋商小组认为供应商的报价或者某些分项报价明显不合理或者低于成本，有可能影响服务质量和不能诚信履约的，应当要求其在规定的期限内予以解释说明，并提交相关证明材料。供应商的澄清或者解释应当采用书面形式，其法定代表人本人或授权代表本人签字或签章并加盖公章。由授权代表签字的，应当附法定代表人授权书。供应商为自然人的，应当由本人签字并附身份证明。如果磋商小组认为供应商所做的澄清或者解释不能被接受，有权利拒绝其成交。</w:t>
      </w:r>
    </w:p>
    <w:p w14:paraId="6ED3065A">
      <w:pPr>
        <w:pStyle w:val="4"/>
        <w:spacing w:line="360" w:lineRule="auto"/>
        <w:rPr>
          <w:rFonts w:hint="eastAsia" w:asciiTheme="minorEastAsia" w:hAnsiTheme="minorEastAsia" w:eastAsiaTheme="minorEastAsia" w:cstheme="minorEastAsia"/>
          <w:b w:val="0"/>
          <w:color w:val="auto"/>
          <w:kern w:val="44"/>
          <w:sz w:val="24"/>
          <w:szCs w:val="24"/>
        </w:rPr>
      </w:pPr>
      <w:bookmarkStart w:id="60" w:name="_Toc417"/>
      <w:bookmarkStart w:id="61" w:name="_Toc449524489"/>
      <w:r>
        <w:rPr>
          <w:rFonts w:hint="eastAsia" w:asciiTheme="minorEastAsia" w:hAnsiTheme="minorEastAsia" w:eastAsiaTheme="minorEastAsia" w:cstheme="minorEastAsia"/>
          <w:b w:val="0"/>
          <w:color w:val="auto"/>
          <w:kern w:val="44"/>
          <w:sz w:val="24"/>
          <w:szCs w:val="24"/>
        </w:rPr>
        <w:t>18、评审过程及保密原则</w:t>
      </w:r>
      <w:bookmarkEnd w:id="60"/>
      <w:bookmarkEnd w:id="61"/>
    </w:p>
    <w:p w14:paraId="78EC06AD">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送达《响应文件》之后，直到授予成交供应商合同止，凡与本次磋商有关人员对属于审查、澄清、评价和比较报价的有关资料以及授标意向等，均不得向供应商或其他无关的人员透露。</w:t>
      </w:r>
    </w:p>
    <w:p w14:paraId="4BBC94AA">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在磋商期间，供应商试图影响采购人、采购代理机构和磋商小组的任何活动，其响应视为无效，并承担相应的法律责任。</w:t>
      </w:r>
    </w:p>
    <w:p w14:paraId="0CA4E847">
      <w:pPr>
        <w:pStyle w:val="3"/>
        <w:spacing w:line="360" w:lineRule="auto"/>
        <w:jc w:val="center"/>
        <w:rPr>
          <w:rFonts w:hint="eastAsia" w:asciiTheme="minorEastAsia" w:hAnsiTheme="minorEastAsia" w:eastAsiaTheme="minorEastAsia" w:cstheme="minorEastAsia"/>
          <w:b/>
          <w:bCs/>
          <w:color w:val="auto"/>
          <w:kern w:val="44"/>
          <w:sz w:val="24"/>
          <w:szCs w:val="24"/>
        </w:rPr>
      </w:pPr>
      <w:bookmarkStart w:id="62" w:name="_Toc520356169"/>
      <w:bookmarkStart w:id="63" w:name="_Toc449524490"/>
      <w:bookmarkStart w:id="64" w:name="_Toc27031"/>
      <w:r>
        <w:rPr>
          <w:rFonts w:hint="eastAsia" w:asciiTheme="minorEastAsia" w:hAnsiTheme="minorEastAsia" w:eastAsiaTheme="minorEastAsia" w:cstheme="minorEastAsia"/>
          <w:b/>
          <w:bCs/>
          <w:color w:val="auto"/>
          <w:kern w:val="44"/>
          <w:sz w:val="24"/>
          <w:szCs w:val="24"/>
        </w:rPr>
        <w:t>六</w:t>
      </w:r>
      <w:bookmarkEnd w:id="62"/>
      <w:r>
        <w:rPr>
          <w:rFonts w:hint="eastAsia" w:asciiTheme="minorEastAsia" w:hAnsiTheme="minorEastAsia" w:eastAsiaTheme="minorEastAsia" w:cstheme="minorEastAsia"/>
          <w:b/>
          <w:bCs/>
          <w:color w:val="auto"/>
          <w:kern w:val="44"/>
          <w:sz w:val="24"/>
          <w:szCs w:val="24"/>
        </w:rPr>
        <w:t xml:space="preserve">   确定成交供应商</w:t>
      </w:r>
      <w:bookmarkEnd w:id="63"/>
      <w:bookmarkEnd w:id="64"/>
    </w:p>
    <w:p w14:paraId="1D1DA8B9">
      <w:pPr>
        <w:pStyle w:val="4"/>
        <w:spacing w:line="360" w:lineRule="auto"/>
        <w:rPr>
          <w:rFonts w:hint="eastAsia" w:asciiTheme="minorEastAsia" w:hAnsiTheme="minorEastAsia" w:eastAsiaTheme="minorEastAsia" w:cstheme="minorEastAsia"/>
          <w:b w:val="0"/>
          <w:color w:val="auto"/>
          <w:kern w:val="44"/>
          <w:sz w:val="24"/>
          <w:szCs w:val="24"/>
        </w:rPr>
      </w:pPr>
      <w:bookmarkStart w:id="65" w:name="_Toc449524491"/>
      <w:bookmarkStart w:id="66" w:name="_Toc520356170"/>
      <w:bookmarkStart w:id="67" w:name="_Toc23026"/>
      <w:bookmarkStart w:id="68" w:name="_Ref467307010"/>
      <w:r>
        <w:rPr>
          <w:rFonts w:hint="eastAsia" w:asciiTheme="minorEastAsia" w:hAnsiTheme="minorEastAsia" w:eastAsiaTheme="minorEastAsia" w:cstheme="minorEastAsia"/>
          <w:b w:val="0"/>
          <w:color w:val="auto"/>
          <w:kern w:val="44"/>
          <w:sz w:val="24"/>
          <w:szCs w:val="24"/>
        </w:rPr>
        <w:t>19、成交候选供应商的确定标准</w:t>
      </w:r>
      <w:bookmarkEnd w:id="65"/>
      <w:bookmarkEnd w:id="66"/>
      <w:bookmarkEnd w:id="67"/>
      <w:bookmarkEnd w:id="68"/>
    </w:p>
    <w:p w14:paraId="3E4AC663">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成交候选供应商的确定原则及标准：按评审后得分由高到低顺序排列。总得分最高的供应商为成交候选供应商，次之作为成交备选供应商。评审得分相同的，按照最后报价由低到高的顺序推荐。评审得分且最后报价相同的，按照服务方案优劣顺序推荐。</w:t>
      </w:r>
    </w:p>
    <w:p w14:paraId="3D0FB333">
      <w:pPr>
        <w:pStyle w:val="4"/>
        <w:spacing w:line="360" w:lineRule="auto"/>
        <w:rPr>
          <w:rFonts w:hint="eastAsia" w:asciiTheme="minorEastAsia" w:hAnsiTheme="minorEastAsia" w:eastAsiaTheme="minorEastAsia" w:cstheme="minorEastAsia"/>
          <w:b w:val="0"/>
          <w:color w:val="auto"/>
          <w:kern w:val="44"/>
          <w:sz w:val="24"/>
          <w:szCs w:val="24"/>
        </w:rPr>
      </w:pPr>
      <w:bookmarkStart w:id="69" w:name="_Toc520356172"/>
      <w:bookmarkStart w:id="70" w:name="_Toc520356173"/>
      <w:bookmarkStart w:id="71" w:name="_Toc449524492"/>
      <w:bookmarkStart w:id="72" w:name="_Ref467306874"/>
      <w:bookmarkStart w:id="73" w:name="_Toc28126"/>
      <w:r>
        <w:rPr>
          <w:rFonts w:hint="eastAsia" w:asciiTheme="minorEastAsia" w:hAnsiTheme="minorEastAsia" w:eastAsiaTheme="minorEastAsia" w:cstheme="minorEastAsia"/>
          <w:b w:val="0"/>
          <w:color w:val="auto"/>
          <w:kern w:val="44"/>
          <w:sz w:val="24"/>
          <w:szCs w:val="24"/>
        </w:rPr>
        <w:t>20、接受和拒绝任何或所有报价的权利</w:t>
      </w:r>
      <w:bookmarkEnd w:id="69"/>
      <w:bookmarkEnd w:id="70"/>
      <w:bookmarkEnd w:id="71"/>
      <w:bookmarkEnd w:id="72"/>
      <w:bookmarkEnd w:id="73"/>
    </w:p>
    <w:p w14:paraId="3A1AE60E">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为维护国家和社会公共利益，采购人保留在授标之前任何时候接受或拒绝任何报价的权利，且对受影响的供应商不承担任何责任。</w:t>
      </w:r>
    </w:p>
    <w:p w14:paraId="537B6372">
      <w:pPr>
        <w:pStyle w:val="4"/>
        <w:spacing w:line="360" w:lineRule="auto"/>
        <w:rPr>
          <w:rFonts w:hint="eastAsia" w:asciiTheme="minorEastAsia" w:hAnsiTheme="minorEastAsia" w:eastAsiaTheme="minorEastAsia" w:cstheme="minorEastAsia"/>
          <w:b w:val="0"/>
          <w:color w:val="auto"/>
          <w:kern w:val="44"/>
          <w:sz w:val="24"/>
          <w:szCs w:val="24"/>
        </w:rPr>
      </w:pPr>
      <w:bookmarkStart w:id="74" w:name="_Toc449524493"/>
      <w:bookmarkStart w:id="75" w:name="_Toc10769"/>
      <w:r>
        <w:rPr>
          <w:rFonts w:hint="eastAsia" w:asciiTheme="minorEastAsia" w:hAnsiTheme="minorEastAsia" w:eastAsiaTheme="minorEastAsia" w:cstheme="minorEastAsia"/>
          <w:b w:val="0"/>
          <w:color w:val="auto"/>
          <w:kern w:val="44"/>
          <w:sz w:val="24"/>
          <w:szCs w:val="24"/>
        </w:rPr>
        <w:t>21、签订合同的权利</w:t>
      </w:r>
      <w:bookmarkEnd w:id="74"/>
      <w:bookmarkEnd w:id="75"/>
    </w:p>
    <w:p w14:paraId="0017BAE1">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因不可抗力或成交供应商不能履约等情形，采购人保留与其他候选供应商签订合同的权利。</w:t>
      </w:r>
    </w:p>
    <w:p w14:paraId="20B495C0">
      <w:pPr>
        <w:pStyle w:val="4"/>
        <w:spacing w:line="360" w:lineRule="auto"/>
        <w:rPr>
          <w:rFonts w:hint="eastAsia" w:asciiTheme="minorEastAsia" w:hAnsiTheme="minorEastAsia" w:eastAsiaTheme="minorEastAsia" w:cstheme="minorEastAsia"/>
          <w:b w:val="0"/>
          <w:color w:val="auto"/>
          <w:kern w:val="44"/>
          <w:sz w:val="24"/>
          <w:szCs w:val="24"/>
        </w:rPr>
      </w:pPr>
      <w:bookmarkStart w:id="76" w:name="_Toc449524494"/>
      <w:bookmarkStart w:id="77" w:name="_Toc22717"/>
      <w:bookmarkStart w:id="78" w:name="_Toc520356174"/>
      <w:r>
        <w:rPr>
          <w:rFonts w:hint="eastAsia" w:asciiTheme="minorEastAsia" w:hAnsiTheme="minorEastAsia" w:eastAsiaTheme="minorEastAsia" w:cstheme="minorEastAsia"/>
          <w:b w:val="0"/>
          <w:color w:val="auto"/>
          <w:kern w:val="44"/>
          <w:sz w:val="24"/>
          <w:szCs w:val="24"/>
        </w:rPr>
        <w:t>22、成交通知书</w:t>
      </w:r>
      <w:bookmarkEnd w:id="76"/>
      <w:bookmarkEnd w:id="77"/>
      <w:bookmarkEnd w:id="78"/>
    </w:p>
    <w:p w14:paraId="1FFD7EC5">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成交供应商确定后，采购代理机构以书面形式向成交供应商发出成交通知书。成交通知书是合同的组成部分。</w:t>
      </w:r>
    </w:p>
    <w:p w14:paraId="62EF5095">
      <w:pPr>
        <w:pStyle w:val="4"/>
        <w:spacing w:line="360" w:lineRule="auto"/>
        <w:rPr>
          <w:rFonts w:hint="eastAsia" w:asciiTheme="minorEastAsia" w:hAnsiTheme="minorEastAsia" w:eastAsiaTheme="minorEastAsia" w:cstheme="minorEastAsia"/>
          <w:b w:val="0"/>
          <w:color w:val="auto"/>
          <w:kern w:val="44"/>
          <w:sz w:val="24"/>
          <w:szCs w:val="24"/>
        </w:rPr>
      </w:pPr>
      <w:bookmarkStart w:id="79" w:name="_Toc347"/>
      <w:bookmarkStart w:id="80" w:name="_Ref467306377"/>
      <w:bookmarkStart w:id="81" w:name="_Ref467307062"/>
      <w:bookmarkStart w:id="82" w:name="_Toc520356175"/>
      <w:bookmarkStart w:id="83" w:name="_Ref467306978"/>
      <w:bookmarkStart w:id="84" w:name="_Ref467307204"/>
      <w:bookmarkStart w:id="85" w:name="_Toc449524495"/>
      <w:r>
        <w:rPr>
          <w:rFonts w:hint="eastAsia" w:asciiTheme="minorEastAsia" w:hAnsiTheme="minorEastAsia" w:eastAsiaTheme="minorEastAsia" w:cstheme="minorEastAsia"/>
          <w:b w:val="0"/>
          <w:color w:val="auto"/>
          <w:kern w:val="44"/>
          <w:sz w:val="24"/>
          <w:szCs w:val="24"/>
        </w:rPr>
        <w:t>23、签订合同</w:t>
      </w:r>
      <w:bookmarkEnd w:id="79"/>
      <w:bookmarkEnd w:id="80"/>
      <w:bookmarkEnd w:id="81"/>
      <w:bookmarkEnd w:id="82"/>
      <w:bookmarkEnd w:id="83"/>
      <w:bookmarkEnd w:id="84"/>
      <w:bookmarkEnd w:id="85"/>
    </w:p>
    <w:p w14:paraId="4A6BCDF1">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成交供应商应当自收到成交通知书之日起</w:t>
      </w:r>
      <w:r>
        <w:rPr>
          <w:rFonts w:hint="eastAsia" w:asciiTheme="minorEastAsia" w:hAnsiTheme="minorEastAsia" w:cstheme="minorEastAsia"/>
          <w:color w:val="auto"/>
          <w:kern w:val="44"/>
          <w:szCs w:val="24"/>
          <w:lang w:val="en-US" w:eastAsia="zh-CN"/>
        </w:rPr>
        <w:t>20</w:t>
      </w:r>
      <w:r>
        <w:rPr>
          <w:rFonts w:hint="eastAsia" w:asciiTheme="minorEastAsia" w:hAnsiTheme="minorEastAsia" w:eastAsiaTheme="minorEastAsia" w:cstheme="minorEastAsia"/>
          <w:color w:val="auto"/>
          <w:kern w:val="44"/>
          <w:szCs w:val="24"/>
        </w:rPr>
        <w:t>日内，按照磋商文件确定的合同文本以及采购标的、服务需求、采购金额、采购数量等事项与采购人签订采购合同，否则按撤回响应文件处理。</w:t>
      </w:r>
    </w:p>
    <w:p w14:paraId="4EABD5B5">
      <w:pPr>
        <w:spacing w:line="360" w:lineRule="auto"/>
        <w:ind w:firstLine="420" w:firstLineChars="200"/>
        <w:rPr>
          <w:rFonts w:hint="eastAsia" w:asciiTheme="minorEastAsia" w:hAnsiTheme="minorEastAsia" w:eastAsiaTheme="minorEastAsia" w:cstheme="minorEastAsia"/>
          <w:color w:val="auto"/>
          <w:kern w:val="44"/>
          <w:szCs w:val="24"/>
        </w:rPr>
      </w:pPr>
      <w:bookmarkStart w:id="86" w:name="_Toc520356176"/>
      <w:bookmarkStart w:id="87" w:name="_Ref467306425"/>
      <w:bookmarkStart w:id="88" w:name="_Ref467307090"/>
      <w:r>
        <w:rPr>
          <w:rFonts w:hint="eastAsia" w:asciiTheme="minorEastAsia" w:hAnsiTheme="minorEastAsia" w:eastAsiaTheme="minorEastAsia" w:cstheme="minorEastAsia"/>
          <w:color w:val="auto"/>
          <w:kern w:val="44"/>
          <w:szCs w:val="24"/>
        </w:rPr>
        <w:t>《磋商文件》、成交供应商的《响应文件》及其澄清文件等，均为签订合同的依据。</w:t>
      </w:r>
      <w:bookmarkEnd w:id="86"/>
      <w:bookmarkEnd w:id="87"/>
      <w:bookmarkEnd w:id="88"/>
    </w:p>
    <w:p w14:paraId="0FB98FF7">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5553606F">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自采购合同签订之日起</w:t>
      </w:r>
      <w:r>
        <w:rPr>
          <w:rFonts w:hint="eastAsia" w:asciiTheme="minorEastAsia" w:hAnsiTheme="minorEastAsia" w:eastAsiaTheme="minorEastAsia" w:cstheme="minorEastAsia"/>
          <w:color w:val="auto"/>
          <w:kern w:val="44"/>
          <w:szCs w:val="24"/>
          <w:lang w:val="en-US" w:eastAsia="zh-CN"/>
        </w:rPr>
        <w:t>10</w:t>
      </w:r>
      <w:r>
        <w:rPr>
          <w:rFonts w:hint="eastAsia" w:asciiTheme="minorEastAsia" w:hAnsiTheme="minorEastAsia" w:eastAsiaTheme="minorEastAsia" w:cstheme="minorEastAsia"/>
          <w:color w:val="auto"/>
          <w:kern w:val="44"/>
          <w:szCs w:val="24"/>
        </w:rPr>
        <w:t>个工作日内，采购人将采购合同在</w:t>
      </w:r>
      <w:r>
        <w:rPr>
          <w:rFonts w:hint="eastAsia" w:asciiTheme="minorEastAsia" w:hAnsiTheme="minorEastAsia" w:eastAsiaTheme="minorEastAsia" w:cstheme="minorEastAsia"/>
          <w:color w:val="auto"/>
          <w:kern w:val="44"/>
          <w:szCs w:val="24"/>
          <w:lang w:val="en-US" w:eastAsia="zh-CN"/>
        </w:rPr>
        <w:t>达州市水务局门户网站</w:t>
      </w:r>
      <w:r>
        <w:rPr>
          <w:rFonts w:hint="eastAsia" w:asciiTheme="minorEastAsia" w:hAnsiTheme="minorEastAsia" w:eastAsiaTheme="minorEastAsia" w:cstheme="minorEastAsia"/>
          <w:color w:val="auto"/>
          <w:kern w:val="44"/>
          <w:szCs w:val="24"/>
        </w:rPr>
        <w:t>上公告，但采购合同中涉及国家秘密、商业秘密的内容除外。</w:t>
      </w:r>
    </w:p>
    <w:p w14:paraId="05D8BFCF">
      <w:pPr>
        <w:rPr>
          <w:rFonts w:hint="eastAsia" w:ascii="方正仿宋_GBK" w:hAnsi="方正仿宋_GBK" w:eastAsia="方正仿宋_GBK" w:cs="方正仿宋_GBK"/>
          <w:color w:val="auto"/>
        </w:rPr>
      </w:pPr>
    </w:p>
    <w:p w14:paraId="4DCAEA64">
      <w:pPr>
        <w:pStyle w:val="2"/>
        <w:spacing w:line="360" w:lineRule="auto"/>
        <w:jc w:val="center"/>
        <w:rPr>
          <w:rFonts w:hint="eastAsia" w:ascii="方正仿宋_GBK" w:hAnsi="方正仿宋_GBK" w:eastAsia="方正仿宋_GBK" w:cs="方正仿宋_GBK"/>
          <w:bCs/>
          <w:color w:val="auto"/>
          <w:sz w:val="36"/>
          <w:szCs w:val="36"/>
          <w:lang w:eastAsia="zh-CN"/>
        </w:rPr>
      </w:pPr>
      <w:bookmarkStart w:id="89" w:name="_Toc104383960"/>
      <w:bookmarkStart w:id="90" w:name="_Toc1171250400"/>
      <w:bookmarkStart w:id="91" w:name="_Toc1479277215"/>
      <w:r>
        <w:rPr>
          <w:rFonts w:hint="eastAsia" w:ascii="方正仿宋_GBK" w:hAnsi="方正仿宋_GBK" w:eastAsia="方正仿宋_GBK" w:cs="方正仿宋_GBK"/>
          <w:bCs/>
          <w:color w:val="auto"/>
          <w:sz w:val="36"/>
          <w:szCs w:val="36"/>
        </w:rPr>
        <w:t>第</w:t>
      </w:r>
      <w:r>
        <w:rPr>
          <w:rFonts w:hint="eastAsia" w:ascii="方正仿宋_GBK" w:hAnsi="方正仿宋_GBK" w:eastAsia="方正仿宋_GBK" w:cs="方正仿宋_GBK"/>
          <w:bCs/>
          <w:color w:val="auto"/>
          <w:sz w:val="36"/>
          <w:szCs w:val="36"/>
          <w:lang w:eastAsia="zh-CN"/>
        </w:rPr>
        <w:t>三</w:t>
      </w:r>
      <w:r>
        <w:rPr>
          <w:rFonts w:hint="eastAsia" w:ascii="方正仿宋_GBK" w:hAnsi="方正仿宋_GBK" w:eastAsia="方正仿宋_GBK" w:cs="方正仿宋_GBK"/>
          <w:bCs/>
          <w:color w:val="auto"/>
          <w:sz w:val="36"/>
          <w:szCs w:val="36"/>
        </w:rPr>
        <w:t xml:space="preserve">部分 </w:t>
      </w:r>
      <w:r>
        <w:rPr>
          <w:rFonts w:hint="eastAsia" w:ascii="方正仿宋_GBK" w:hAnsi="方正仿宋_GBK" w:eastAsia="方正仿宋_GBK" w:cs="方正仿宋_GBK"/>
          <w:bCs/>
          <w:color w:val="auto"/>
          <w:sz w:val="36"/>
          <w:szCs w:val="36"/>
          <w:lang w:val="en-US" w:eastAsia="zh-CN"/>
        </w:rPr>
        <w:t xml:space="preserve"> </w:t>
      </w:r>
      <w:r>
        <w:rPr>
          <w:rFonts w:hint="eastAsia" w:ascii="方正仿宋_GBK" w:hAnsi="方正仿宋_GBK" w:eastAsia="方正仿宋_GBK" w:cs="方正仿宋_GBK"/>
          <w:bCs/>
          <w:color w:val="auto"/>
          <w:sz w:val="36"/>
          <w:szCs w:val="36"/>
        </w:rPr>
        <w:t>技术</w:t>
      </w:r>
      <w:bookmarkEnd w:id="89"/>
      <w:r>
        <w:rPr>
          <w:rFonts w:hint="eastAsia" w:ascii="方正仿宋_GBK" w:hAnsi="方正仿宋_GBK" w:eastAsia="方正仿宋_GBK" w:cs="方正仿宋_GBK"/>
          <w:bCs/>
          <w:color w:val="auto"/>
          <w:sz w:val="36"/>
          <w:szCs w:val="36"/>
          <w:lang w:eastAsia="zh-CN"/>
        </w:rPr>
        <w:t>商务要求</w:t>
      </w:r>
      <w:bookmarkEnd w:id="90"/>
      <w:bookmarkEnd w:id="91"/>
    </w:p>
    <w:p w14:paraId="61E1DDE1">
      <w:pPr>
        <w:spacing w:line="360" w:lineRule="auto"/>
        <w:rPr>
          <w:rFonts w:hint="eastAsia" w:asciiTheme="minorEastAsia" w:hAnsiTheme="minorEastAsia" w:cstheme="minorEastAsia"/>
          <w:color w:val="auto"/>
          <w:kern w:val="44"/>
          <w:sz w:val="24"/>
          <w:szCs w:val="24"/>
          <w:lang w:eastAsia="zh-CN"/>
        </w:rPr>
      </w:pPr>
      <w:bookmarkStart w:id="92" w:name="_Toc104383961"/>
      <w:r>
        <w:rPr>
          <w:rFonts w:hint="eastAsia" w:asciiTheme="minorEastAsia" w:hAnsiTheme="minorEastAsia" w:cstheme="minorEastAsia"/>
          <w:color w:val="auto"/>
          <w:kern w:val="44"/>
          <w:sz w:val="24"/>
          <w:szCs w:val="24"/>
          <w:lang w:eastAsia="zh-CN"/>
        </w:rPr>
        <w:t>一、技术要求</w:t>
      </w:r>
      <w:r>
        <w:rPr>
          <w:rFonts w:hint="eastAsia" w:asciiTheme="minorEastAsia" w:hAnsiTheme="minorEastAsia" w:cstheme="minorEastAsia"/>
          <w:b/>
          <w:bCs/>
          <w:color w:val="auto"/>
          <w:kern w:val="44"/>
          <w:sz w:val="24"/>
          <w:szCs w:val="24"/>
          <w:lang w:eastAsia="zh-CN"/>
        </w:rPr>
        <w:t>（实质性要求，未响应的供应商将作无效处理）</w:t>
      </w:r>
    </w:p>
    <w:p w14:paraId="055CBC78">
      <w:pPr>
        <w:spacing w:line="360" w:lineRule="auto"/>
        <w:rPr>
          <w:rFonts w:hint="eastAsia" w:asciiTheme="minorEastAsia" w:hAnsiTheme="minorEastAsia" w:eastAsiaTheme="minorEastAsia" w:cstheme="minorEastAsia"/>
          <w:color w:val="auto"/>
          <w:kern w:val="44"/>
          <w:szCs w:val="24"/>
        </w:rPr>
      </w:pPr>
      <w:r>
        <w:rPr>
          <w:rFonts w:hint="eastAsia" w:asciiTheme="minorEastAsia" w:hAnsiTheme="minorEastAsia" w:cstheme="minorEastAsia"/>
          <w:color w:val="auto"/>
          <w:kern w:val="44"/>
          <w:szCs w:val="24"/>
          <w:lang w:eastAsia="zh-CN"/>
        </w:rPr>
        <w:t>（</w:t>
      </w:r>
      <w:r>
        <w:rPr>
          <w:rFonts w:hint="eastAsia" w:asciiTheme="minorEastAsia" w:hAnsiTheme="minorEastAsia" w:cstheme="minorEastAsia"/>
          <w:color w:val="auto"/>
          <w:kern w:val="44"/>
          <w:szCs w:val="24"/>
          <w:lang w:val="en-US" w:eastAsia="zh-CN"/>
        </w:rPr>
        <w:t>一</w:t>
      </w:r>
      <w:r>
        <w:rPr>
          <w:rFonts w:hint="eastAsia" w:asciiTheme="minorEastAsia" w:hAnsiTheme="minorEastAsia" w:cstheme="minorEastAsia"/>
          <w:color w:val="auto"/>
          <w:kern w:val="44"/>
          <w:szCs w:val="24"/>
          <w:lang w:eastAsia="zh-CN"/>
        </w:rPr>
        <w:t>）</w:t>
      </w:r>
      <w:r>
        <w:rPr>
          <w:rFonts w:hint="eastAsia" w:asciiTheme="minorEastAsia" w:hAnsiTheme="minorEastAsia" w:cstheme="minorEastAsia"/>
          <w:color w:val="auto"/>
          <w:kern w:val="44"/>
          <w:szCs w:val="24"/>
          <w:lang w:val="en-US" w:eastAsia="zh-CN"/>
        </w:rPr>
        <w:t>工作内容：</w:t>
      </w:r>
      <w:r>
        <w:rPr>
          <w:rFonts w:hint="eastAsia" w:asciiTheme="minorEastAsia" w:hAnsiTheme="minorEastAsia" w:eastAsiaTheme="minorEastAsia" w:cstheme="minorEastAsia"/>
          <w:color w:val="auto"/>
          <w:kern w:val="44"/>
          <w:szCs w:val="24"/>
        </w:rPr>
        <w:t>按照</w:t>
      </w:r>
      <w:r>
        <w:rPr>
          <w:rFonts w:hint="eastAsia" w:asciiTheme="minorEastAsia" w:hAnsiTheme="minorEastAsia" w:cstheme="minorEastAsia"/>
          <w:color w:val="auto"/>
          <w:kern w:val="44"/>
          <w:szCs w:val="24"/>
          <w:lang w:val="en-US" w:eastAsia="zh-CN"/>
        </w:rPr>
        <w:t>水土流失监测相关技术标准和规范以及达州市水土保持监测站运行制度</w:t>
      </w:r>
      <w:r>
        <w:rPr>
          <w:rFonts w:hint="eastAsia" w:asciiTheme="minorEastAsia" w:hAnsiTheme="minorEastAsia" w:eastAsiaTheme="minorEastAsia" w:cstheme="minorEastAsia"/>
          <w:color w:val="auto"/>
          <w:kern w:val="44"/>
          <w:szCs w:val="24"/>
        </w:rPr>
        <w:t>落实具体</w:t>
      </w:r>
      <w:r>
        <w:rPr>
          <w:rFonts w:hint="eastAsia" w:asciiTheme="minorEastAsia" w:hAnsiTheme="minorEastAsia" w:cstheme="minorEastAsia"/>
          <w:color w:val="auto"/>
          <w:kern w:val="44"/>
          <w:szCs w:val="24"/>
          <w:lang w:val="en-US" w:eastAsia="zh-CN"/>
        </w:rPr>
        <w:t>监测</w:t>
      </w:r>
      <w:r>
        <w:rPr>
          <w:rFonts w:hint="eastAsia" w:asciiTheme="minorEastAsia" w:hAnsiTheme="minorEastAsia" w:eastAsiaTheme="minorEastAsia" w:cstheme="minorEastAsia"/>
          <w:color w:val="auto"/>
          <w:kern w:val="44"/>
          <w:szCs w:val="24"/>
        </w:rPr>
        <w:t>工作方案</w:t>
      </w:r>
      <w:r>
        <w:rPr>
          <w:rFonts w:hint="eastAsia" w:asciiTheme="minorEastAsia" w:hAnsiTheme="minorEastAsia" w:cstheme="minorEastAsia"/>
          <w:color w:val="auto"/>
          <w:kern w:val="44"/>
          <w:szCs w:val="24"/>
          <w:lang w:eastAsia="zh-CN"/>
        </w:rPr>
        <w:t>，</w:t>
      </w:r>
      <w:r>
        <w:rPr>
          <w:rFonts w:hint="eastAsia" w:asciiTheme="minorEastAsia" w:hAnsiTheme="minorEastAsia" w:cstheme="minorEastAsia"/>
          <w:color w:val="auto"/>
          <w:kern w:val="44"/>
          <w:szCs w:val="24"/>
          <w:lang w:val="en-US" w:eastAsia="zh-CN"/>
        </w:rPr>
        <w:t>完成</w:t>
      </w:r>
      <w:r>
        <w:rPr>
          <w:rFonts w:hint="default" w:asciiTheme="minorEastAsia" w:hAnsiTheme="minorEastAsia" w:cstheme="minorEastAsia"/>
          <w:color w:val="auto"/>
          <w:kern w:val="0"/>
          <w:szCs w:val="24"/>
          <w:lang w:val="en-US" w:eastAsia="zh-CN"/>
        </w:rPr>
        <w:t>达州市水土保持监测站坡面径流观测场5个径流小区进行2025年1~12月水土流失监测及值守工作</w:t>
      </w:r>
      <w:r>
        <w:rPr>
          <w:rFonts w:hint="eastAsia" w:asciiTheme="minorEastAsia" w:hAnsiTheme="minorEastAsia" w:cstheme="minorEastAsia"/>
          <w:color w:val="auto"/>
          <w:kern w:val="44"/>
          <w:szCs w:val="24"/>
          <w:lang w:eastAsia="zh-CN"/>
        </w:rPr>
        <w:t>，</w:t>
      </w:r>
      <w:r>
        <w:rPr>
          <w:rFonts w:hint="eastAsia" w:asciiTheme="minorEastAsia" w:hAnsiTheme="minorEastAsia" w:cstheme="minorEastAsia"/>
          <w:color w:val="auto"/>
          <w:kern w:val="44"/>
          <w:szCs w:val="24"/>
          <w:lang w:val="en-US" w:eastAsia="zh-CN"/>
        </w:rPr>
        <w:t>包括：</w:t>
      </w:r>
      <w:r>
        <w:rPr>
          <w:rFonts w:hint="default" w:asciiTheme="minorEastAsia" w:hAnsiTheme="minorEastAsia" w:eastAsiaTheme="minorEastAsia" w:cstheme="minorEastAsia"/>
          <w:color w:val="auto"/>
          <w:kern w:val="0"/>
          <w:szCs w:val="24"/>
          <w:lang w:val="en-US" w:eastAsia="zh-CN"/>
        </w:rPr>
        <w:t>1、全年24小时值守工作（包括日常物品管理、环境卫生打扫、设备安全管理等)。2、完成涉及水土流失监测的逐日降水量、径流小区田间管理、泥沙采样、植被郁闭度/盖度和土壤水分(TDR法)、小区径流泥沙计算、径流小区土壤水分(TDR法)计算、径流小区测产等水土流失监测相关指标。3、将每月水土流失监测资料电子文档在次月7号前上报达州市水务局，按要求录入平台系统，并通过上级主管部门审核。4、按照四川省水土保持生态环境监测总站要求完成年度监测数据资料整编，并报达州市水务局备案。5、配合达州市水务局参加四川省水土保持生态环境监测总站组织的现场监测参观学习和资料整编培训</w:t>
      </w:r>
      <w:r>
        <w:rPr>
          <w:rFonts w:hint="eastAsia" w:asciiTheme="minorEastAsia" w:hAnsiTheme="minorEastAsia" w:eastAsiaTheme="minorEastAsia" w:cstheme="minorEastAsia"/>
          <w:color w:val="auto"/>
          <w:kern w:val="44"/>
          <w:szCs w:val="24"/>
        </w:rPr>
        <w:t>。</w:t>
      </w:r>
    </w:p>
    <w:p w14:paraId="6C10A146">
      <w:pPr>
        <w:spacing w:line="360" w:lineRule="auto"/>
        <w:ind w:firstLine="420" w:firstLineChars="200"/>
        <w:rPr>
          <w:rFonts w:hint="eastAsia" w:asciiTheme="minorEastAsia" w:hAnsiTheme="minorEastAsia" w:cstheme="minorEastAsia"/>
          <w:color w:val="auto"/>
          <w:kern w:val="44"/>
          <w:szCs w:val="24"/>
          <w:lang w:val="en-US" w:eastAsia="zh-CN"/>
        </w:rPr>
      </w:pPr>
      <w:r>
        <w:rPr>
          <w:rFonts w:hint="eastAsia" w:asciiTheme="minorEastAsia" w:hAnsiTheme="minorEastAsia" w:cstheme="minorEastAsia"/>
          <w:color w:val="auto"/>
          <w:kern w:val="44"/>
          <w:szCs w:val="24"/>
          <w:lang w:eastAsia="zh-CN"/>
        </w:rPr>
        <w:t>（</w:t>
      </w:r>
      <w:r>
        <w:rPr>
          <w:rFonts w:hint="eastAsia" w:asciiTheme="minorEastAsia" w:hAnsiTheme="minorEastAsia" w:cstheme="minorEastAsia"/>
          <w:color w:val="auto"/>
          <w:kern w:val="44"/>
          <w:szCs w:val="24"/>
          <w:lang w:val="en-US" w:eastAsia="zh-CN"/>
        </w:rPr>
        <w:t>二）监测质量要求：1、供应商承诺本项目监测的误差率控制在10%以内；2、供应商应保证所供监测技术数据符合行业规定的要求。</w:t>
      </w:r>
    </w:p>
    <w:p w14:paraId="400AA4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color w:val="auto"/>
          <w:kern w:val="0"/>
          <w:szCs w:val="24"/>
          <w:highlight w:val="none"/>
          <w:lang w:val="en-US" w:eastAsia="zh-CN"/>
        </w:rPr>
      </w:pPr>
      <w:r>
        <w:rPr>
          <w:rFonts w:hint="eastAsia" w:asciiTheme="minorEastAsia" w:hAnsiTheme="minorEastAsia" w:cstheme="minorEastAsia"/>
          <w:color w:val="auto"/>
          <w:kern w:val="44"/>
          <w:szCs w:val="24"/>
          <w:highlight w:val="none"/>
          <w:lang w:val="en-US" w:eastAsia="zh-CN"/>
        </w:rPr>
        <w:t>（三）其他要求：</w:t>
      </w:r>
      <w:r>
        <w:rPr>
          <w:rFonts w:hint="eastAsia" w:asciiTheme="minorEastAsia" w:hAnsiTheme="minorEastAsia" w:cstheme="minorEastAsia"/>
          <w:color w:val="auto"/>
          <w:kern w:val="0"/>
          <w:szCs w:val="24"/>
          <w:highlight w:val="none"/>
          <w:lang w:val="en-US" w:eastAsia="zh-CN"/>
        </w:rPr>
        <w:t>供应商须配备至少1名水土保持</w:t>
      </w:r>
      <w:r>
        <w:rPr>
          <w:rFonts w:hint="eastAsia" w:asciiTheme="minorEastAsia" w:hAnsiTheme="minorEastAsia" w:cstheme="minorEastAsia"/>
          <w:color w:val="auto"/>
          <w:sz w:val="21"/>
          <w:szCs w:val="24"/>
          <w:highlight w:val="none"/>
          <w:lang w:val="en-US" w:eastAsia="zh-CN"/>
        </w:rPr>
        <w:t>专业</w:t>
      </w:r>
      <w:r>
        <w:rPr>
          <w:rFonts w:hint="eastAsia" w:asciiTheme="minorEastAsia" w:hAnsiTheme="minorEastAsia" w:cstheme="minorEastAsia"/>
          <w:color w:val="auto"/>
          <w:kern w:val="0"/>
          <w:szCs w:val="24"/>
          <w:highlight w:val="none"/>
          <w:lang w:val="en-US" w:eastAsia="zh-CN"/>
        </w:rPr>
        <w:t>技术人员；至少配备2名24小时值班人员。</w:t>
      </w:r>
      <w:r>
        <w:rPr>
          <w:rFonts w:hint="eastAsia" w:asciiTheme="minorEastAsia" w:hAnsiTheme="minorEastAsia" w:cstheme="minorEastAsia"/>
          <w:b w:val="0"/>
          <w:bCs w:val="0"/>
          <w:color w:val="auto"/>
          <w:kern w:val="0"/>
          <w:szCs w:val="24"/>
          <w:highlight w:val="none"/>
          <w:lang w:val="en-US" w:eastAsia="zh-CN"/>
        </w:rPr>
        <w:t>（技术人员</w:t>
      </w:r>
      <w:r>
        <w:rPr>
          <w:rFonts w:hint="eastAsia" w:asciiTheme="minorEastAsia" w:hAnsiTheme="minorEastAsia" w:eastAsiaTheme="minorEastAsia" w:cstheme="minorEastAsia"/>
          <w:b w:val="0"/>
          <w:bCs w:val="0"/>
          <w:color w:val="auto"/>
          <w:sz w:val="21"/>
          <w:szCs w:val="24"/>
          <w:highlight w:val="none"/>
          <w:lang w:val="ru-RU" w:eastAsia="zh-CN"/>
        </w:rPr>
        <w:t>提供</w:t>
      </w:r>
      <w:r>
        <w:rPr>
          <w:rFonts w:hint="eastAsia" w:asciiTheme="minorEastAsia" w:hAnsiTheme="minorEastAsia" w:cstheme="minorEastAsia"/>
          <w:b w:val="0"/>
          <w:bCs w:val="0"/>
          <w:color w:val="auto"/>
          <w:sz w:val="21"/>
          <w:szCs w:val="24"/>
          <w:highlight w:val="none"/>
          <w:lang w:val="en-US" w:eastAsia="zh-CN"/>
        </w:rPr>
        <w:t>有效身份证、水土保持专业毕业证书或职称证书</w:t>
      </w:r>
      <w:r>
        <w:rPr>
          <w:rFonts w:hint="eastAsia" w:asciiTheme="minorEastAsia" w:hAnsiTheme="minorEastAsia" w:cstheme="minorEastAsia"/>
          <w:b w:val="0"/>
          <w:bCs w:val="0"/>
          <w:color w:val="auto"/>
          <w:sz w:val="21"/>
          <w:szCs w:val="24"/>
          <w:highlight w:val="none"/>
          <w:lang w:val="ru-RU" w:eastAsia="zh-CN"/>
        </w:rPr>
        <w:t>、</w:t>
      </w:r>
      <w:r>
        <w:rPr>
          <w:rFonts w:hint="eastAsia" w:asciiTheme="minorEastAsia" w:hAnsiTheme="minorEastAsia" w:cstheme="minorEastAsia"/>
          <w:b w:val="0"/>
          <w:bCs w:val="0"/>
          <w:color w:val="auto"/>
          <w:sz w:val="21"/>
          <w:szCs w:val="24"/>
          <w:highlight w:val="none"/>
          <w:lang w:val="en-US" w:eastAsia="zh-CN"/>
        </w:rPr>
        <w:t>聘用合同（或社保证明）</w:t>
      </w:r>
      <w:r>
        <w:rPr>
          <w:rFonts w:hint="eastAsia" w:asciiTheme="minorEastAsia" w:hAnsiTheme="minorEastAsia" w:eastAsiaTheme="minorEastAsia" w:cstheme="minorEastAsia"/>
          <w:b w:val="0"/>
          <w:bCs w:val="0"/>
          <w:color w:val="auto"/>
          <w:sz w:val="21"/>
          <w:szCs w:val="24"/>
          <w:highlight w:val="none"/>
          <w:lang w:val="ru-RU" w:eastAsia="zh-CN"/>
        </w:rPr>
        <w:t>复印件并加供应商盖公章</w:t>
      </w:r>
      <w:r>
        <w:rPr>
          <w:rFonts w:hint="eastAsia" w:asciiTheme="minorEastAsia" w:hAnsiTheme="minorEastAsia" w:cstheme="minorEastAsia"/>
          <w:b w:val="0"/>
          <w:bCs w:val="0"/>
          <w:color w:val="auto"/>
          <w:sz w:val="21"/>
          <w:szCs w:val="24"/>
          <w:highlight w:val="none"/>
          <w:lang w:val="ru-RU" w:eastAsia="zh-CN"/>
        </w:rPr>
        <w:t>；</w:t>
      </w:r>
      <w:r>
        <w:rPr>
          <w:rFonts w:hint="eastAsia" w:asciiTheme="minorEastAsia" w:hAnsiTheme="minorEastAsia" w:cstheme="minorEastAsia"/>
          <w:b w:val="0"/>
          <w:bCs w:val="0"/>
          <w:color w:val="auto"/>
          <w:sz w:val="21"/>
          <w:szCs w:val="24"/>
          <w:highlight w:val="none"/>
          <w:lang w:val="en-US" w:eastAsia="zh-CN"/>
        </w:rPr>
        <w:t>值班人员</w:t>
      </w:r>
      <w:r>
        <w:rPr>
          <w:rFonts w:hint="eastAsia" w:asciiTheme="minorEastAsia" w:hAnsiTheme="minorEastAsia" w:eastAsiaTheme="minorEastAsia" w:cstheme="minorEastAsia"/>
          <w:b w:val="0"/>
          <w:bCs w:val="0"/>
          <w:color w:val="auto"/>
          <w:sz w:val="21"/>
          <w:szCs w:val="24"/>
          <w:highlight w:val="none"/>
          <w:lang w:val="ru-RU" w:eastAsia="zh-CN"/>
        </w:rPr>
        <w:t>提供</w:t>
      </w:r>
      <w:r>
        <w:rPr>
          <w:rFonts w:hint="eastAsia" w:asciiTheme="minorEastAsia" w:hAnsiTheme="minorEastAsia" w:cstheme="minorEastAsia"/>
          <w:b w:val="0"/>
          <w:bCs w:val="0"/>
          <w:color w:val="auto"/>
          <w:sz w:val="21"/>
          <w:szCs w:val="24"/>
          <w:highlight w:val="none"/>
          <w:lang w:val="en-US" w:eastAsia="zh-CN"/>
        </w:rPr>
        <w:t>有效身份证、聘用合同（或社保证明）</w:t>
      </w:r>
      <w:r>
        <w:rPr>
          <w:rFonts w:hint="eastAsia" w:asciiTheme="minorEastAsia" w:hAnsiTheme="minorEastAsia" w:eastAsiaTheme="minorEastAsia" w:cstheme="minorEastAsia"/>
          <w:b w:val="0"/>
          <w:bCs w:val="0"/>
          <w:color w:val="auto"/>
          <w:sz w:val="21"/>
          <w:szCs w:val="24"/>
          <w:highlight w:val="none"/>
          <w:lang w:val="ru-RU" w:eastAsia="zh-CN"/>
        </w:rPr>
        <w:t>复印件并加供应商盖公章</w:t>
      </w:r>
      <w:r>
        <w:rPr>
          <w:rFonts w:hint="eastAsia" w:asciiTheme="minorEastAsia" w:hAnsiTheme="minorEastAsia" w:cstheme="minorEastAsia"/>
          <w:b w:val="0"/>
          <w:bCs w:val="0"/>
          <w:color w:val="auto"/>
          <w:kern w:val="0"/>
          <w:szCs w:val="24"/>
          <w:highlight w:val="none"/>
          <w:lang w:val="en-US" w:eastAsia="zh-CN"/>
        </w:rPr>
        <w:t>）</w:t>
      </w:r>
      <w:r>
        <w:rPr>
          <w:rFonts w:hint="eastAsia" w:asciiTheme="minorEastAsia" w:hAnsiTheme="minorEastAsia" w:eastAsiaTheme="minorEastAsia" w:cstheme="minorEastAsia"/>
          <w:b w:val="0"/>
          <w:bCs w:val="0"/>
          <w:color w:val="auto"/>
          <w:sz w:val="21"/>
          <w:szCs w:val="24"/>
          <w:highlight w:val="none"/>
          <w:lang w:val="ru-RU" w:eastAsia="zh-CN"/>
        </w:rPr>
        <w:t>。</w:t>
      </w:r>
    </w:p>
    <w:p w14:paraId="6EBBC1E6">
      <w:pPr>
        <w:spacing w:line="360" w:lineRule="auto"/>
        <w:rPr>
          <w:rFonts w:hint="eastAsia" w:asciiTheme="minorEastAsia" w:hAnsiTheme="minorEastAsia" w:cstheme="minorEastAsia"/>
          <w:color w:val="auto"/>
          <w:kern w:val="44"/>
          <w:sz w:val="24"/>
          <w:szCs w:val="24"/>
          <w:lang w:eastAsia="zh-CN"/>
        </w:rPr>
      </w:pPr>
      <w:r>
        <w:rPr>
          <w:rFonts w:hint="eastAsia" w:asciiTheme="minorEastAsia" w:hAnsiTheme="minorEastAsia" w:cstheme="minorEastAsia"/>
          <w:color w:val="auto"/>
          <w:kern w:val="44"/>
          <w:sz w:val="24"/>
          <w:szCs w:val="24"/>
          <w:lang w:eastAsia="zh-CN"/>
        </w:rPr>
        <w:t>二、商务要求</w:t>
      </w:r>
      <w:r>
        <w:rPr>
          <w:rFonts w:hint="eastAsia" w:asciiTheme="minorEastAsia" w:hAnsiTheme="minorEastAsia" w:cstheme="minorEastAsia"/>
          <w:b/>
          <w:bCs/>
          <w:color w:val="auto"/>
          <w:kern w:val="44"/>
          <w:sz w:val="24"/>
          <w:szCs w:val="24"/>
          <w:lang w:eastAsia="zh-CN"/>
        </w:rPr>
        <w:t>（实质性要求，未响应的供应商将作无效处理）</w:t>
      </w:r>
    </w:p>
    <w:p w14:paraId="4492BCA7">
      <w:pPr>
        <w:spacing w:line="360" w:lineRule="auto"/>
        <w:rPr>
          <w:rFonts w:hint="eastAsia" w:asciiTheme="minorEastAsia" w:hAnsiTheme="minorEastAsia" w:eastAsiaTheme="minorEastAsia" w:cstheme="minorEastAsia"/>
          <w:color w:val="auto"/>
          <w:kern w:val="44"/>
          <w:szCs w:val="24"/>
        </w:rPr>
      </w:pPr>
      <w:r>
        <w:rPr>
          <w:rFonts w:hint="eastAsia" w:asciiTheme="minorEastAsia" w:hAnsiTheme="minorEastAsia" w:cstheme="minorEastAsia"/>
          <w:color w:val="auto"/>
          <w:kern w:val="44"/>
          <w:szCs w:val="24"/>
          <w:lang w:eastAsia="zh-CN"/>
        </w:rPr>
        <w:t>（一）</w:t>
      </w:r>
      <w:r>
        <w:rPr>
          <w:rFonts w:hint="eastAsia" w:asciiTheme="minorEastAsia" w:hAnsiTheme="minorEastAsia" w:eastAsiaTheme="minorEastAsia" w:cstheme="minorEastAsia"/>
          <w:color w:val="auto"/>
          <w:kern w:val="44"/>
          <w:szCs w:val="24"/>
        </w:rPr>
        <w:t>履约时间</w:t>
      </w:r>
    </w:p>
    <w:p w14:paraId="2DF72C45">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1、合同签订时间：自收到成交通知书之日起</w:t>
      </w:r>
      <w:r>
        <w:rPr>
          <w:rFonts w:hint="eastAsia" w:asciiTheme="minorEastAsia" w:hAnsiTheme="minorEastAsia" w:cstheme="minorEastAsia"/>
          <w:color w:val="auto"/>
          <w:kern w:val="44"/>
          <w:szCs w:val="24"/>
          <w:lang w:val="en-US" w:eastAsia="zh-CN"/>
        </w:rPr>
        <w:t>20</w:t>
      </w:r>
      <w:r>
        <w:rPr>
          <w:rFonts w:hint="eastAsia" w:asciiTheme="minorEastAsia" w:hAnsiTheme="minorEastAsia" w:eastAsiaTheme="minorEastAsia" w:cstheme="minorEastAsia"/>
          <w:color w:val="auto"/>
          <w:kern w:val="44"/>
          <w:szCs w:val="24"/>
        </w:rPr>
        <w:t>日内。</w:t>
      </w:r>
    </w:p>
    <w:p w14:paraId="7ABD92A0">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2、履约期限：自合同签订之日起</w:t>
      </w:r>
      <w:r>
        <w:rPr>
          <w:rFonts w:hint="eastAsia" w:asciiTheme="minorEastAsia" w:hAnsiTheme="minorEastAsia" w:cstheme="minorEastAsia"/>
          <w:color w:val="auto"/>
          <w:kern w:val="44"/>
          <w:szCs w:val="24"/>
          <w:lang w:eastAsia="zh-CN"/>
        </w:rPr>
        <w:t>至</w:t>
      </w:r>
      <w:r>
        <w:rPr>
          <w:rFonts w:hint="eastAsia" w:asciiTheme="minorEastAsia" w:hAnsiTheme="minorEastAsia" w:cstheme="minorEastAsia"/>
          <w:color w:val="auto"/>
          <w:kern w:val="44"/>
          <w:szCs w:val="24"/>
          <w:lang w:val="en-US" w:eastAsia="zh-CN"/>
        </w:rPr>
        <w:t>2025年12月31日</w:t>
      </w:r>
      <w:r>
        <w:rPr>
          <w:rFonts w:hint="eastAsia" w:asciiTheme="minorEastAsia" w:hAnsiTheme="minorEastAsia" w:eastAsiaTheme="minorEastAsia" w:cstheme="minorEastAsia"/>
          <w:color w:val="auto"/>
          <w:kern w:val="44"/>
          <w:szCs w:val="24"/>
        </w:rPr>
        <w:t>。</w:t>
      </w:r>
    </w:p>
    <w:p w14:paraId="50B26404">
      <w:pPr>
        <w:spacing w:line="360" w:lineRule="auto"/>
        <w:rPr>
          <w:rFonts w:hint="eastAsia" w:asciiTheme="minorEastAsia" w:hAnsiTheme="minorEastAsia" w:cstheme="minorEastAsia"/>
          <w:color w:val="auto"/>
          <w:kern w:val="44"/>
          <w:szCs w:val="24"/>
          <w:lang w:eastAsia="zh-CN"/>
        </w:rPr>
      </w:pPr>
      <w:r>
        <w:rPr>
          <w:rFonts w:hint="eastAsia" w:asciiTheme="minorEastAsia" w:hAnsiTheme="minorEastAsia" w:cstheme="minorEastAsia"/>
          <w:color w:val="auto"/>
          <w:kern w:val="44"/>
          <w:szCs w:val="24"/>
          <w:lang w:eastAsia="zh-CN"/>
        </w:rPr>
        <w:t>（二）、履约地点</w:t>
      </w:r>
    </w:p>
    <w:p w14:paraId="692C1D10">
      <w:pPr>
        <w:spacing w:line="360" w:lineRule="auto"/>
        <w:ind w:firstLine="420" w:firstLineChars="200"/>
        <w:rPr>
          <w:rFonts w:hint="eastAsia" w:asciiTheme="minorEastAsia" w:hAnsiTheme="minorEastAsia" w:cstheme="minorEastAsia"/>
          <w:color w:val="auto"/>
          <w:kern w:val="44"/>
          <w:szCs w:val="24"/>
          <w:lang w:eastAsia="zh-CN"/>
        </w:rPr>
      </w:pPr>
      <w:r>
        <w:rPr>
          <w:rFonts w:hint="eastAsia" w:asciiTheme="minorEastAsia" w:hAnsiTheme="minorEastAsia" w:cstheme="minorEastAsia"/>
          <w:color w:val="auto"/>
          <w:kern w:val="44"/>
          <w:szCs w:val="24"/>
          <w:lang w:eastAsia="zh-CN"/>
        </w:rPr>
        <w:t>达州市</w:t>
      </w:r>
    </w:p>
    <w:p w14:paraId="451637F0">
      <w:pPr>
        <w:numPr>
          <w:ilvl w:val="0"/>
          <w:numId w:val="0"/>
        </w:numPr>
        <w:spacing w:line="360" w:lineRule="auto"/>
        <w:rPr>
          <w:rFonts w:hint="eastAsia" w:asciiTheme="minorEastAsia" w:hAnsiTheme="minorEastAsia" w:cstheme="minorEastAsia"/>
          <w:color w:val="auto"/>
          <w:kern w:val="44"/>
          <w:szCs w:val="24"/>
          <w:lang w:val="en-US" w:eastAsia="zh-CN"/>
        </w:rPr>
      </w:pPr>
      <w:r>
        <w:rPr>
          <w:rFonts w:hint="eastAsia" w:asciiTheme="minorEastAsia" w:hAnsiTheme="minorEastAsia" w:cstheme="minorEastAsia"/>
          <w:color w:val="auto"/>
          <w:kern w:val="44"/>
          <w:szCs w:val="24"/>
          <w:lang w:val="en-US" w:eastAsia="zh-CN"/>
        </w:rPr>
        <w:t>（三）付款方式</w:t>
      </w:r>
    </w:p>
    <w:p w14:paraId="57ED8F8A">
      <w:pPr>
        <w:spacing w:line="360" w:lineRule="auto"/>
        <w:ind w:firstLine="420" w:firstLineChars="200"/>
        <w:rPr>
          <w:rFonts w:hint="eastAsia" w:asciiTheme="minorEastAsia" w:hAnsiTheme="minorEastAsia" w:eastAsiaTheme="minorEastAsia" w:cstheme="minorEastAsia"/>
          <w:color w:val="auto"/>
          <w:kern w:val="44"/>
          <w:szCs w:val="24"/>
          <w:lang w:val="en-US" w:eastAsia="zh-CN"/>
        </w:rPr>
      </w:pPr>
      <w:r>
        <w:rPr>
          <w:rFonts w:hint="eastAsia" w:asciiTheme="minorEastAsia" w:hAnsiTheme="minorEastAsia" w:cstheme="minorEastAsia"/>
          <w:color w:val="auto"/>
          <w:kern w:val="44"/>
          <w:szCs w:val="24"/>
          <w:lang w:val="en-US" w:eastAsia="zh-CN"/>
        </w:rPr>
        <w:t>2025年6月30日后10个工作日内，采购人支付成交供应商50%监测费用；2025年12月1日前支付剩余部分监测费用。成交供应商应在采购人每次付款前开具相应数额的正规发票</w:t>
      </w:r>
      <w:r>
        <w:rPr>
          <w:rFonts w:hint="eastAsia" w:asciiTheme="minorEastAsia" w:hAnsiTheme="minorEastAsia" w:eastAsiaTheme="minorEastAsia" w:cstheme="minorEastAsia"/>
          <w:color w:val="auto"/>
          <w:kern w:val="44"/>
          <w:szCs w:val="24"/>
        </w:rPr>
        <w:t>。</w:t>
      </w:r>
    </w:p>
    <w:p w14:paraId="0D17DC3F">
      <w:pPr>
        <w:numPr>
          <w:ilvl w:val="0"/>
          <w:numId w:val="0"/>
        </w:numPr>
        <w:spacing w:line="360" w:lineRule="auto"/>
        <w:ind w:leftChars="0"/>
        <w:rPr>
          <w:rFonts w:hint="eastAsia" w:asciiTheme="minorEastAsia" w:hAnsiTheme="minorEastAsia" w:cstheme="minorEastAsia"/>
          <w:color w:val="auto"/>
          <w:kern w:val="44"/>
          <w:szCs w:val="24"/>
          <w:lang w:eastAsia="zh-CN"/>
        </w:rPr>
      </w:pPr>
      <w:r>
        <w:rPr>
          <w:rFonts w:hint="eastAsia" w:asciiTheme="minorEastAsia" w:hAnsiTheme="minorEastAsia" w:cstheme="minorEastAsia"/>
          <w:color w:val="auto"/>
          <w:kern w:val="44"/>
          <w:szCs w:val="24"/>
          <w:lang w:eastAsia="zh-CN"/>
        </w:rPr>
        <w:t>（四）履约验收</w:t>
      </w:r>
    </w:p>
    <w:p w14:paraId="6EFBAAC3">
      <w:pPr>
        <w:spacing w:line="360" w:lineRule="auto"/>
        <w:ind w:firstLine="420" w:firstLineChars="200"/>
        <w:rPr>
          <w:rFonts w:hint="eastAsia" w:asciiTheme="minorEastAsia" w:hAnsiTheme="minorEastAsia" w:eastAsiaTheme="minorEastAsia" w:cstheme="minorEastAsia"/>
          <w:color w:val="auto"/>
          <w:kern w:val="44"/>
          <w:szCs w:val="24"/>
        </w:rPr>
      </w:pPr>
      <w:r>
        <w:rPr>
          <w:rFonts w:hint="eastAsia" w:asciiTheme="minorEastAsia" w:hAnsiTheme="minorEastAsia" w:eastAsiaTheme="minorEastAsia" w:cstheme="minorEastAsia"/>
          <w:color w:val="auto"/>
          <w:kern w:val="44"/>
          <w:szCs w:val="24"/>
        </w:rPr>
        <w:t>按国家有关规定以及</w:t>
      </w:r>
      <w:r>
        <w:rPr>
          <w:rFonts w:hint="eastAsia" w:asciiTheme="minorEastAsia" w:hAnsiTheme="minorEastAsia" w:cstheme="minorEastAsia"/>
          <w:color w:val="auto"/>
          <w:kern w:val="44"/>
          <w:szCs w:val="24"/>
          <w:lang w:eastAsia="zh-CN"/>
        </w:rPr>
        <w:t>磋商</w:t>
      </w:r>
      <w:r>
        <w:rPr>
          <w:rFonts w:hint="eastAsia" w:asciiTheme="minorEastAsia" w:hAnsiTheme="minorEastAsia" w:eastAsiaTheme="minorEastAsia" w:cstheme="minorEastAsia"/>
          <w:color w:val="auto"/>
          <w:kern w:val="44"/>
          <w:szCs w:val="24"/>
        </w:rPr>
        <w:t>文件要求、成交供应商的响应文件及承诺与合同约定进行验收，其他未尽事宜按照政府采购相关法律法规以及根据《财政部关于进一步加强政府采购需求和履约验收管理的指导意见》（财库〔2016〕205号）的要求以及采购文件的质量要求和技术指标、乙方的响应文件及承诺与本合同约定标准进行验收。</w:t>
      </w:r>
    </w:p>
    <w:p w14:paraId="323E2D1D">
      <w:pPr>
        <w:pStyle w:val="2"/>
        <w:spacing w:line="360" w:lineRule="auto"/>
        <w:jc w:val="center"/>
        <w:rPr>
          <w:rFonts w:hint="eastAsia" w:ascii="方正仿宋_GBK" w:hAnsi="方正仿宋_GBK" w:eastAsia="方正仿宋_GBK" w:cs="方正仿宋_GBK"/>
          <w:bCs/>
          <w:color w:val="auto"/>
          <w:sz w:val="36"/>
          <w:szCs w:val="36"/>
        </w:rPr>
      </w:pPr>
      <w:bookmarkStart w:id="93" w:name="_Toc615701431"/>
      <w:bookmarkStart w:id="94" w:name="_Toc2021076728"/>
      <w:r>
        <w:rPr>
          <w:rFonts w:hint="eastAsia" w:ascii="方正仿宋_GBK" w:hAnsi="方正仿宋_GBK" w:eastAsia="方正仿宋_GBK" w:cs="方正仿宋_GBK"/>
          <w:bCs/>
          <w:color w:val="auto"/>
          <w:sz w:val="36"/>
          <w:szCs w:val="36"/>
        </w:rPr>
        <w:t>第</w:t>
      </w:r>
      <w:r>
        <w:rPr>
          <w:rFonts w:hint="eastAsia" w:ascii="方正仿宋_GBK" w:hAnsi="方正仿宋_GBK" w:eastAsia="方正仿宋_GBK" w:cs="方正仿宋_GBK"/>
          <w:bCs/>
          <w:color w:val="auto"/>
          <w:sz w:val="36"/>
          <w:szCs w:val="36"/>
          <w:lang w:eastAsia="zh-CN"/>
        </w:rPr>
        <w:t>四</w:t>
      </w:r>
      <w:r>
        <w:rPr>
          <w:rFonts w:hint="eastAsia" w:ascii="方正仿宋_GBK" w:hAnsi="方正仿宋_GBK" w:eastAsia="方正仿宋_GBK" w:cs="方正仿宋_GBK"/>
          <w:bCs/>
          <w:color w:val="auto"/>
          <w:sz w:val="36"/>
          <w:szCs w:val="36"/>
        </w:rPr>
        <w:t>部分</w:t>
      </w:r>
      <w:r>
        <w:rPr>
          <w:rFonts w:hint="eastAsia" w:ascii="方正仿宋_GBK" w:hAnsi="方正仿宋_GBK" w:eastAsia="方正仿宋_GBK" w:cs="方正仿宋_GBK"/>
          <w:bCs/>
          <w:color w:val="auto"/>
          <w:sz w:val="36"/>
          <w:szCs w:val="36"/>
          <w:lang w:val="en-US" w:eastAsia="zh-CN"/>
        </w:rPr>
        <w:t xml:space="preserve">  </w:t>
      </w:r>
      <w:r>
        <w:rPr>
          <w:rFonts w:hint="eastAsia" w:ascii="方正仿宋_GBK" w:hAnsi="方正仿宋_GBK" w:eastAsia="方正仿宋_GBK" w:cs="方正仿宋_GBK"/>
          <w:bCs/>
          <w:color w:val="auto"/>
          <w:sz w:val="36"/>
          <w:szCs w:val="36"/>
        </w:rPr>
        <w:t>评分标准</w:t>
      </w:r>
      <w:bookmarkEnd w:id="92"/>
      <w:bookmarkEnd w:id="93"/>
      <w:bookmarkEnd w:id="94"/>
    </w:p>
    <w:p w14:paraId="03EA5391">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一、评审方法：本项目采用综合评分法，即响应文件满足磋商文件全部实质性要求且按评审因素的量化指标评审得分最高的供应商为成交候选供应商的评审方法。</w:t>
      </w:r>
    </w:p>
    <w:p w14:paraId="3369F764">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二、综合评分的主要因素是：</w:t>
      </w:r>
      <w:r>
        <w:rPr>
          <w:rFonts w:hint="eastAsia" w:asciiTheme="minorEastAsia" w:hAnsiTheme="minorEastAsia" w:cstheme="minorEastAsia"/>
          <w:color w:val="auto"/>
          <w:lang w:val="en-US" w:eastAsia="zh-CN"/>
        </w:rPr>
        <w:t>技术能力</w:t>
      </w:r>
      <w:r>
        <w:rPr>
          <w:rFonts w:hint="eastAsia" w:asciiTheme="minorEastAsia" w:hAnsiTheme="minorEastAsia" w:eastAsiaTheme="minorEastAsia" w:cstheme="minorEastAsia"/>
          <w:color w:val="auto"/>
        </w:rPr>
        <w:t>、业绩、服务，以及相应的比重或者权值等。</w:t>
      </w:r>
    </w:p>
    <w:p w14:paraId="395F5475">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三、评审因素及所占权重：详见评审标准细则。</w:t>
      </w:r>
    </w:p>
    <w:p w14:paraId="490CA5B5">
      <w:pPr>
        <w:pStyle w:val="6"/>
        <w:rPr>
          <w:rFonts w:hint="eastAsia" w:ascii="方正仿宋_GBK" w:hAnsi="方正仿宋_GBK" w:eastAsia="方正仿宋_GBK" w:cs="方正仿宋_GBK"/>
          <w:color w:val="auto"/>
        </w:rPr>
      </w:pPr>
    </w:p>
    <w:p w14:paraId="658D5074">
      <w:pPr>
        <w:pStyle w:val="14"/>
        <w:rPr>
          <w:rFonts w:hint="eastAsia" w:ascii="方正仿宋_GBK" w:hAnsi="方正仿宋_GBK" w:eastAsia="方正仿宋_GBK" w:cs="方正仿宋_GBK"/>
          <w:color w:val="auto"/>
        </w:rPr>
      </w:pPr>
    </w:p>
    <w:p w14:paraId="6CE3708B">
      <w:pPr>
        <w:pStyle w:val="14"/>
        <w:rPr>
          <w:rFonts w:hint="eastAsia" w:ascii="方正仿宋_GBK" w:hAnsi="方正仿宋_GBK" w:eastAsia="方正仿宋_GBK" w:cs="方正仿宋_GBK"/>
          <w:color w:val="auto"/>
        </w:rPr>
      </w:pPr>
    </w:p>
    <w:p w14:paraId="3C07D643">
      <w:pPr>
        <w:pStyle w:val="14"/>
        <w:rPr>
          <w:rFonts w:hint="eastAsia" w:ascii="方正仿宋_GBK" w:hAnsi="方正仿宋_GBK" w:eastAsia="方正仿宋_GBK" w:cs="方正仿宋_GBK"/>
          <w:color w:val="auto"/>
        </w:rPr>
      </w:pPr>
    </w:p>
    <w:p w14:paraId="5A8FD477">
      <w:pPr>
        <w:pStyle w:val="14"/>
        <w:rPr>
          <w:rFonts w:hint="eastAsia" w:ascii="方正仿宋_GBK" w:hAnsi="方正仿宋_GBK" w:eastAsia="方正仿宋_GBK" w:cs="方正仿宋_GBK"/>
          <w:color w:val="auto"/>
        </w:rPr>
      </w:pPr>
    </w:p>
    <w:p w14:paraId="2C633B2D">
      <w:pPr>
        <w:pStyle w:val="14"/>
        <w:ind w:left="0" w:leftChars="0" w:firstLine="0" w:firstLineChars="0"/>
        <w:rPr>
          <w:rFonts w:hint="eastAsia" w:asciiTheme="minorEastAsia" w:hAnsiTheme="minorEastAsia" w:eastAsiaTheme="minorEastAsia" w:cstheme="minorEastAsia"/>
          <w:color w:val="auto"/>
        </w:rPr>
      </w:pPr>
    </w:p>
    <w:p w14:paraId="411F4704">
      <w:pPr>
        <w:pStyle w:val="14"/>
        <w:ind w:left="0" w:leftChars="0" w:firstLine="0" w:firstLineChars="0"/>
        <w:rPr>
          <w:rFonts w:hint="eastAsia" w:asciiTheme="minorEastAsia" w:hAnsiTheme="minorEastAsia" w:eastAsiaTheme="minorEastAsia" w:cstheme="minorEastAsia"/>
          <w:color w:val="auto"/>
        </w:rPr>
      </w:pPr>
    </w:p>
    <w:p w14:paraId="75DB76C4">
      <w:pPr>
        <w:pStyle w:val="14"/>
        <w:ind w:left="0" w:leftChars="0" w:firstLine="0" w:firstLineChars="0"/>
        <w:rPr>
          <w:rFonts w:hint="eastAsia" w:asciiTheme="minorEastAsia" w:hAnsiTheme="minorEastAsia" w:eastAsiaTheme="minorEastAsia" w:cstheme="minorEastAsia"/>
          <w:color w:val="auto"/>
        </w:rPr>
      </w:pPr>
    </w:p>
    <w:p w14:paraId="6C1E5810">
      <w:pPr>
        <w:pStyle w:val="14"/>
        <w:ind w:left="0" w:leftChars="0" w:firstLine="0" w:firstLineChars="0"/>
        <w:rPr>
          <w:rFonts w:hint="eastAsia" w:asciiTheme="minorEastAsia" w:hAnsiTheme="minorEastAsia" w:eastAsiaTheme="minorEastAsia" w:cstheme="minorEastAsia"/>
          <w:color w:val="auto"/>
        </w:rPr>
      </w:pPr>
    </w:p>
    <w:p w14:paraId="26EDCD7A">
      <w:pPr>
        <w:pStyle w:val="14"/>
        <w:ind w:left="0" w:leftChars="0" w:firstLine="0" w:firstLineChars="0"/>
        <w:rPr>
          <w:rFonts w:hint="eastAsia" w:asciiTheme="minorEastAsia" w:hAnsiTheme="minorEastAsia" w:eastAsiaTheme="minorEastAsia" w:cstheme="minorEastAsia"/>
          <w:color w:val="auto"/>
        </w:rPr>
      </w:pPr>
    </w:p>
    <w:p w14:paraId="490B3D55">
      <w:pPr>
        <w:pStyle w:val="14"/>
        <w:ind w:left="0" w:leftChars="0" w:firstLine="0" w:firstLineChars="0"/>
        <w:rPr>
          <w:rFonts w:hint="eastAsia" w:asciiTheme="minorEastAsia" w:hAnsiTheme="minorEastAsia" w:eastAsiaTheme="minorEastAsia" w:cstheme="minorEastAsia"/>
          <w:color w:val="auto"/>
        </w:rPr>
      </w:pPr>
    </w:p>
    <w:p w14:paraId="3210A501">
      <w:pPr>
        <w:pStyle w:val="14"/>
        <w:ind w:left="0" w:leftChars="0" w:firstLine="0" w:firstLineChars="0"/>
        <w:rPr>
          <w:rFonts w:hint="eastAsia" w:asciiTheme="minorEastAsia" w:hAnsiTheme="minorEastAsia" w:eastAsiaTheme="minorEastAsia" w:cstheme="minorEastAsia"/>
          <w:color w:val="auto"/>
        </w:rPr>
      </w:pPr>
    </w:p>
    <w:p w14:paraId="0AF946B4">
      <w:pPr>
        <w:pStyle w:val="14"/>
        <w:ind w:left="0" w:leftChars="0" w:firstLine="0" w:firstLineChars="0"/>
        <w:jc w:val="center"/>
        <w:rPr>
          <w:rFonts w:hint="eastAsia" w:asciiTheme="minorEastAsia" w:hAnsiTheme="minorEastAsia" w:eastAsiaTheme="minorEastAsia" w:cstheme="minorEastAsia"/>
          <w:b/>
          <w:bCs/>
          <w:color w:val="auto"/>
          <w:lang w:val="en-US" w:eastAsia="zh-CN"/>
        </w:rPr>
      </w:pPr>
    </w:p>
    <w:p w14:paraId="34973A3B">
      <w:pPr>
        <w:pStyle w:val="14"/>
        <w:ind w:left="0" w:leftChars="0" w:firstLine="0" w:firstLineChars="0"/>
        <w:jc w:val="center"/>
        <w:rPr>
          <w:rFonts w:hint="default"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综合评分细则表</w:t>
      </w:r>
    </w:p>
    <w:tbl>
      <w:tblPr>
        <w:tblStyle w:val="15"/>
        <w:tblW w:w="985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858"/>
        <w:gridCol w:w="1328"/>
        <w:gridCol w:w="6249"/>
        <w:gridCol w:w="958"/>
      </w:tblGrid>
      <w:tr w14:paraId="7BC92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462" w:type="dxa"/>
            <w:tcBorders>
              <w:top w:val="single" w:color="auto" w:sz="6" w:space="0"/>
              <w:left w:val="single" w:color="auto" w:sz="6" w:space="0"/>
              <w:bottom w:val="single" w:color="auto" w:sz="6" w:space="0"/>
              <w:right w:val="single" w:color="auto" w:sz="6" w:space="0"/>
            </w:tcBorders>
            <w:vAlign w:val="center"/>
          </w:tcPr>
          <w:p w14:paraId="5240CCF0">
            <w:pPr>
              <w:keepNext w:val="0"/>
              <w:keepLines w:val="0"/>
              <w:pageBreakBefore w:val="0"/>
              <w:widowControl w:val="0"/>
              <w:tabs>
                <w:tab w:val="left" w:pos="993"/>
                <w:tab w:val="left" w:pos="1701"/>
              </w:tabs>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序号</w:t>
            </w:r>
          </w:p>
        </w:tc>
        <w:tc>
          <w:tcPr>
            <w:tcW w:w="858" w:type="dxa"/>
            <w:tcBorders>
              <w:top w:val="single" w:color="auto" w:sz="6" w:space="0"/>
              <w:left w:val="single" w:color="auto" w:sz="6" w:space="0"/>
              <w:bottom w:val="single" w:color="auto" w:sz="6" w:space="0"/>
              <w:right w:val="single" w:color="auto" w:sz="6" w:space="0"/>
            </w:tcBorders>
            <w:vAlign w:val="center"/>
          </w:tcPr>
          <w:p w14:paraId="1B1B9597">
            <w:pPr>
              <w:keepNext w:val="0"/>
              <w:keepLines w:val="0"/>
              <w:pageBreakBefore w:val="0"/>
              <w:widowControl w:val="0"/>
              <w:tabs>
                <w:tab w:val="left" w:pos="993"/>
                <w:tab w:val="left" w:pos="1701"/>
              </w:tabs>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评审条款</w:t>
            </w:r>
          </w:p>
        </w:tc>
        <w:tc>
          <w:tcPr>
            <w:tcW w:w="1328" w:type="dxa"/>
            <w:tcBorders>
              <w:top w:val="single" w:color="auto" w:sz="6" w:space="0"/>
              <w:left w:val="single" w:color="auto" w:sz="6" w:space="0"/>
              <w:bottom w:val="single" w:color="auto" w:sz="6" w:space="0"/>
              <w:right w:val="single" w:color="auto" w:sz="6" w:space="0"/>
            </w:tcBorders>
            <w:vAlign w:val="center"/>
          </w:tcPr>
          <w:p w14:paraId="1E8459CD">
            <w:pPr>
              <w:keepNext w:val="0"/>
              <w:keepLines w:val="0"/>
              <w:pageBreakBefore w:val="0"/>
              <w:widowControl w:val="0"/>
              <w:tabs>
                <w:tab w:val="left" w:pos="993"/>
                <w:tab w:val="left" w:pos="1701"/>
              </w:tabs>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评审项</w:t>
            </w:r>
          </w:p>
        </w:tc>
        <w:tc>
          <w:tcPr>
            <w:tcW w:w="6249" w:type="dxa"/>
            <w:tcBorders>
              <w:top w:val="single" w:color="auto" w:sz="6" w:space="0"/>
              <w:left w:val="single" w:color="auto" w:sz="6" w:space="0"/>
              <w:bottom w:val="single" w:color="auto" w:sz="6" w:space="0"/>
              <w:right w:val="single" w:color="auto" w:sz="6" w:space="0"/>
            </w:tcBorders>
            <w:vAlign w:val="center"/>
          </w:tcPr>
          <w:p w14:paraId="1F414556">
            <w:pPr>
              <w:keepNext w:val="0"/>
              <w:keepLines w:val="0"/>
              <w:pageBreakBefore w:val="0"/>
              <w:widowControl w:val="0"/>
              <w:tabs>
                <w:tab w:val="left" w:pos="993"/>
                <w:tab w:val="left" w:pos="1701"/>
              </w:tabs>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评审细则</w:t>
            </w:r>
          </w:p>
        </w:tc>
        <w:tc>
          <w:tcPr>
            <w:tcW w:w="958" w:type="dxa"/>
            <w:tcBorders>
              <w:top w:val="single" w:color="auto" w:sz="6" w:space="0"/>
              <w:left w:val="single" w:color="auto" w:sz="6" w:space="0"/>
              <w:bottom w:val="single" w:color="auto" w:sz="6" w:space="0"/>
              <w:right w:val="single" w:color="auto" w:sz="6" w:space="0"/>
            </w:tcBorders>
            <w:vAlign w:val="center"/>
          </w:tcPr>
          <w:p w14:paraId="3C7AE447">
            <w:pPr>
              <w:keepNext w:val="0"/>
              <w:keepLines w:val="0"/>
              <w:pageBreakBefore w:val="0"/>
              <w:widowControl w:val="0"/>
              <w:tabs>
                <w:tab w:val="left" w:pos="993"/>
                <w:tab w:val="left" w:pos="1701"/>
              </w:tabs>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得分</w:t>
            </w:r>
          </w:p>
        </w:tc>
      </w:tr>
      <w:tr w14:paraId="7E64C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6" w:hRule="atLeast"/>
        </w:trPr>
        <w:tc>
          <w:tcPr>
            <w:tcW w:w="462" w:type="dxa"/>
            <w:tcBorders>
              <w:top w:val="single" w:color="auto" w:sz="6" w:space="0"/>
              <w:left w:val="single" w:color="auto" w:sz="6" w:space="0"/>
              <w:right w:val="single" w:color="auto" w:sz="6" w:space="0"/>
            </w:tcBorders>
            <w:vAlign w:val="center"/>
          </w:tcPr>
          <w:p w14:paraId="490C2C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w:t>
            </w:r>
          </w:p>
          <w:p w14:paraId="05B0B2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lang w:val="en-US" w:eastAsia="zh-CN"/>
              </w:rPr>
            </w:pPr>
          </w:p>
        </w:tc>
        <w:tc>
          <w:tcPr>
            <w:tcW w:w="858" w:type="dxa"/>
            <w:tcBorders>
              <w:top w:val="single" w:color="auto" w:sz="6" w:space="0"/>
              <w:left w:val="single" w:color="auto" w:sz="6" w:space="0"/>
              <w:right w:val="single" w:color="auto" w:sz="6" w:space="0"/>
            </w:tcBorders>
            <w:vAlign w:val="center"/>
          </w:tcPr>
          <w:p w14:paraId="1A5CC5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en-US" w:eastAsia="zh-CN"/>
              </w:rPr>
            </w:pPr>
            <w:r>
              <w:rPr>
                <w:rFonts w:hint="eastAsia" w:asciiTheme="minorEastAsia" w:hAnsiTheme="minorEastAsia" w:eastAsiaTheme="minorEastAsia" w:cstheme="minorEastAsia"/>
                <w:color w:val="auto"/>
                <w:sz w:val="21"/>
                <w:szCs w:val="24"/>
                <w:lang w:val="en-US" w:eastAsia="zh-CN"/>
              </w:rPr>
              <w:t>商务部分（</w:t>
            </w:r>
            <w:r>
              <w:rPr>
                <w:rFonts w:hint="eastAsia" w:asciiTheme="minorEastAsia" w:hAnsiTheme="minorEastAsia" w:cstheme="minorEastAsia"/>
                <w:color w:val="auto"/>
                <w:sz w:val="21"/>
                <w:szCs w:val="24"/>
                <w:lang w:val="en-US" w:eastAsia="zh-CN"/>
              </w:rPr>
              <w:t>2</w:t>
            </w:r>
            <w:r>
              <w:rPr>
                <w:rFonts w:hint="eastAsia" w:asciiTheme="minorEastAsia" w:hAnsiTheme="minorEastAsia" w:eastAsiaTheme="minorEastAsia" w:cstheme="minorEastAsia"/>
                <w:color w:val="auto"/>
                <w:sz w:val="21"/>
                <w:szCs w:val="24"/>
                <w:lang w:val="en-US" w:eastAsia="zh-CN"/>
              </w:rPr>
              <w:t>0分）</w:t>
            </w:r>
          </w:p>
          <w:p w14:paraId="0D3C0F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en-US" w:eastAsia="zh-CN"/>
              </w:rPr>
            </w:pPr>
          </w:p>
        </w:tc>
        <w:tc>
          <w:tcPr>
            <w:tcW w:w="1328" w:type="dxa"/>
            <w:tcBorders>
              <w:top w:val="single" w:color="auto" w:sz="6" w:space="0"/>
              <w:left w:val="single" w:color="auto" w:sz="6" w:space="0"/>
              <w:right w:val="single" w:color="auto" w:sz="6" w:space="0"/>
            </w:tcBorders>
            <w:vAlign w:val="center"/>
          </w:tcPr>
          <w:p w14:paraId="6F0152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en-US" w:eastAsia="zh-CN"/>
              </w:rPr>
            </w:pPr>
            <w:r>
              <w:rPr>
                <w:rFonts w:hint="eastAsia" w:asciiTheme="minorEastAsia" w:hAnsiTheme="minorEastAsia" w:eastAsiaTheme="minorEastAsia" w:cstheme="minorEastAsia"/>
                <w:color w:val="auto"/>
                <w:sz w:val="21"/>
                <w:szCs w:val="24"/>
                <w:lang w:val="en-US" w:eastAsia="zh-CN"/>
              </w:rPr>
              <w:t>人员配置（2</w:t>
            </w:r>
            <w:r>
              <w:rPr>
                <w:rFonts w:hint="eastAsia" w:asciiTheme="minorEastAsia" w:hAnsiTheme="minorEastAsia" w:cstheme="minorEastAsia"/>
                <w:color w:val="auto"/>
                <w:sz w:val="21"/>
                <w:szCs w:val="24"/>
                <w:lang w:val="en-US" w:eastAsia="zh-CN"/>
              </w:rPr>
              <w:t>0</w:t>
            </w:r>
            <w:r>
              <w:rPr>
                <w:rFonts w:hint="eastAsia" w:asciiTheme="minorEastAsia" w:hAnsiTheme="minorEastAsia" w:eastAsiaTheme="minorEastAsia" w:cstheme="minorEastAsia"/>
                <w:color w:val="auto"/>
                <w:sz w:val="21"/>
                <w:szCs w:val="24"/>
                <w:lang w:val="en-US" w:eastAsia="zh-CN"/>
              </w:rPr>
              <w:t>分）</w:t>
            </w:r>
          </w:p>
        </w:tc>
        <w:tc>
          <w:tcPr>
            <w:tcW w:w="6249" w:type="dxa"/>
            <w:tcBorders>
              <w:top w:val="single" w:color="auto" w:sz="6" w:space="0"/>
              <w:left w:val="single" w:color="auto" w:sz="6" w:space="0"/>
              <w:right w:val="single" w:color="auto" w:sz="6" w:space="0"/>
            </w:tcBorders>
            <w:vAlign w:val="center"/>
          </w:tcPr>
          <w:p w14:paraId="003E24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1"/>
                <w:szCs w:val="24"/>
                <w:highlight w:val="none"/>
                <w:lang w:val="ru-RU" w:eastAsia="zh-CN"/>
              </w:rPr>
            </w:pPr>
            <w:bookmarkStart w:id="95" w:name="OLE_LINK56"/>
            <w:r>
              <w:rPr>
                <w:rFonts w:hint="eastAsia" w:asciiTheme="minorEastAsia" w:hAnsiTheme="minorEastAsia" w:eastAsiaTheme="minorEastAsia" w:cstheme="minorEastAsia"/>
                <w:color w:val="auto"/>
                <w:sz w:val="21"/>
                <w:szCs w:val="24"/>
                <w:highlight w:val="none"/>
                <w:lang w:val="ru-RU" w:eastAsia="zh-CN"/>
              </w:rPr>
              <w:t>（</w:t>
            </w:r>
            <w:r>
              <w:rPr>
                <w:rFonts w:hint="eastAsia" w:asciiTheme="minorEastAsia" w:hAnsiTheme="minorEastAsia" w:eastAsiaTheme="minorEastAsia" w:cstheme="minorEastAsia"/>
                <w:color w:val="auto"/>
                <w:sz w:val="21"/>
                <w:szCs w:val="24"/>
                <w:highlight w:val="none"/>
                <w:lang w:val="en-US" w:eastAsia="zh-CN"/>
              </w:rPr>
              <w:t>1</w:t>
            </w:r>
            <w:r>
              <w:rPr>
                <w:rFonts w:hint="eastAsia" w:asciiTheme="minorEastAsia" w:hAnsiTheme="minorEastAsia" w:eastAsiaTheme="minorEastAsia" w:cstheme="minorEastAsia"/>
                <w:color w:val="auto"/>
                <w:sz w:val="21"/>
                <w:szCs w:val="24"/>
                <w:highlight w:val="none"/>
                <w:lang w:val="ru-RU" w:eastAsia="zh-CN"/>
              </w:rPr>
              <w:t>）</w:t>
            </w:r>
            <w:r>
              <w:rPr>
                <w:rFonts w:hint="eastAsia" w:asciiTheme="minorEastAsia" w:hAnsiTheme="minorEastAsia" w:cstheme="minorEastAsia"/>
                <w:color w:val="auto"/>
                <w:sz w:val="21"/>
                <w:szCs w:val="24"/>
                <w:highlight w:val="none"/>
                <w:lang w:val="en-US" w:eastAsia="zh-CN"/>
              </w:rPr>
              <w:t>技术</w:t>
            </w:r>
            <w:r>
              <w:rPr>
                <w:rFonts w:hint="eastAsia" w:asciiTheme="minorEastAsia" w:hAnsiTheme="minorEastAsia" w:eastAsiaTheme="minorEastAsia" w:cstheme="minorEastAsia"/>
                <w:color w:val="auto"/>
                <w:sz w:val="21"/>
                <w:szCs w:val="24"/>
                <w:highlight w:val="none"/>
                <w:lang w:val="ru-RU" w:eastAsia="zh-CN"/>
              </w:rPr>
              <w:t>负责人:具有</w:t>
            </w:r>
            <w:r>
              <w:rPr>
                <w:rFonts w:hint="eastAsia" w:asciiTheme="minorEastAsia" w:hAnsiTheme="minorEastAsia" w:cstheme="minorEastAsia"/>
                <w:color w:val="auto"/>
                <w:sz w:val="21"/>
                <w:szCs w:val="24"/>
                <w:highlight w:val="none"/>
                <w:lang w:val="en-US" w:eastAsia="zh-CN"/>
              </w:rPr>
              <w:t>水土保持专业技术人员</w:t>
            </w:r>
            <w:r>
              <w:rPr>
                <w:rFonts w:hint="eastAsia" w:asciiTheme="minorEastAsia" w:hAnsiTheme="minorEastAsia" w:eastAsiaTheme="minorEastAsia" w:cstheme="minorEastAsia"/>
                <w:color w:val="auto"/>
                <w:sz w:val="21"/>
                <w:szCs w:val="24"/>
                <w:highlight w:val="none"/>
                <w:lang w:val="ru-RU" w:eastAsia="zh-CN"/>
              </w:rPr>
              <w:t>的得</w:t>
            </w:r>
            <w:r>
              <w:rPr>
                <w:rFonts w:hint="eastAsia" w:asciiTheme="minorEastAsia" w:hAnsiTheme="minorEastAsia" w:cstheme="minorEastAsia"/>
                <w:color w:val="auto"/>
                <w:sz w:val="21"/>
                <w:szCs w:val="24"/>
                <w:highlight w:val="none"/>
                <w:lang w:val="en-US" w:eastAsia="zh-CN"/>
              </w:rPr>
              <w:t>10</w:t>
            </w:r>
            <w:r>
              <w:rPr>
                <w:rFonts w:hint="eastAsia" w:asciiTheme="minorEastAsia" w:hAnsiTheme="minorEastAsia" w:eastAsiaTheme="minorEastAsia" w:cstheme="minorEastAsia"/>
                <w:color w:val="auto"/>
                <w:sz w:val="21"/>
                <w:szCs w:val="24"/>
                <w:highlight w:val="none"/>
                <w:lang w:val="ru-RU" w:eastAsia="zh-CN"/>
              </w:rPr>
              <w:t>分</w:t>
            </w:r>
            <w:r>
              <w:rPr>
                <w:rFonts w:hint="eastAsia" w:asciiTheme="minorEastAsia" w:hAnsiTheme="minorEastAsia" w:cstheme="minorEastAsia"/>
                <w:color w:val="auto"/>
                <w:sz w:val="21"/>
                <w:szCs w:val="24"/>
                <w:highlight w:val="none"/>
                <w:lang w:val="ru-RU" w:eastAsia="zh-CN"/>
              </w:rPr>
              <w:t>，</w:t>
            </w:r>
            <w:r>
              <w:rPr>
                <w:rFonts w:hint="eastAsia" w:asciiTheme="minorEastAsia" w:hAnsiTheme="minorEastAsia" w:eastAsiaTheme="minorEastAsia" w:cstheme="minorEastAsia"/>
                <w:color w:val="auto"/>
                <w:sz w:val="21"/>
                <w:szCs w:val="24"/>
                <w:highlight w:val="none"/>
                <w:lang w:val="ru-RU" w:eastAsia="zh-CN"/>
              </w:rPr>
              <w:t>本项最多得</w:t>
            </w:r>
            <w:r>
              <w:rPr>
                <w:rFonts w:hint="eastAsia" w:asciiTheme="minorEastAsia" w:hAnsiTheme="minorEastAsia" w:cstheme="minorEastAsia"/>
                <w:color w:val="auto"/>
                <w:sz w:val="21"/>
                <w:szCs w:val="24"/>
                <w:highlight w:val="none"/>
                <w:lang w:val="en-US" w:eastAsia="zh-CN"/>
              </w:rPr>
              <w:t>10</w:t>
            </w:r>
            <w:r>
              <w:rPr>
                <w:rFonts w:hint="eastAsia" w:asciiTheme="minorEastAsia" w:hAnsiTheme="minorEastAsia" w:eastAsiaTheme="minorEastAsia" w:cstheme="minorEastAsia"/>
                <w:color w:val="auto"/>
                <w:sz w:val="21"/>
                <w:szCs w:val="24"/>
                <w:highlight w:val="none"/>
                <w:lang w:val="ru-RU" w:eastAsia="zh-CN"/>
              </w:rPr>
              <w:t>分。</w:t>
            </w:r>
          </w:p>
          <w:p w14:paraId="5E3B7A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sz w:val="21"/>
                <w:szCs w:val="24"/>
                <w:highlight w:val="none"/>
                <w:lang w:val="ru-RU" w:eastAsia="zh-CN"/>
              </w:rPr>
            </w:pPr>
            <w:r>
              <w:rPr>
                <w:rFonts w:hint="eastAsia" w:asciiTheme="minorEastAsia" w:hAnsiTheme="minorEastAsia" w:eastAsiaTheme="minorEastAsia" w:cstheme="minorEastAsia"/>
                <w:b/>
                <w:bCs/>
                <w:color w:val="auto"/>
                <w:sz w:val="21"/>
                <w:szCs w:val="24"/>
                <w:highlight w:val="none"/>
                <w:lang w:val="ru-RU" w:eastAsia="zh-CN"/>
              </w:rPr>
              <w:t>注：提供</w:t>
            </w:r>
            <w:r>
              <w:rPr>
                <w:rFonts w:hint="eastAsia" w:asciiTheme="minorEastAsia" w:hAnsiTheme="minorEastAsia" w:cstheme="minorEastAsia"/>
                <w:b/>
                <w:bCs/>
                <w:color w:val="auto"/>
                <w:sz w:val="21"/>
                <w:szCs w:val="24"/>
                <w:highlight w:val="none"/>
                <w:lang w:val="en-US" w:eastAsia="zh-CN"/>
              </w:rPr>
              <w:t>有效身份证、水土保持专业职称证书或毕业证书、聘用合同（或社保证明）</w:t>
            </w:r>
            <w:r>
              <w:rPr>
                <w:rFonts w:hint="eastAsia" w:asciiTheme="minorEastAsia" w:hAnsiTheme="minorEastAsia" w:eastAsiaTheme="minorEastAsia" w:cstheme="minorEastAsia"/>
                <w:b/>
                <w:bCs/>
                <w:color w:val="auto"/>
                <w:sz w:val="21"/>
                <w:szCs w:val="24"/>
                <w:highlight w:val="none"/>
                <w:lang w:val="ru-RU" w:eastAsia="zh-CN"/>
              </w:rPr>
              <w:t>复印件并加供应商盖公章。</w:t>
            </w:r>
          </w:p>
          <w:p w14:paraId="3498342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1"/>
                <w:szCs w:val="24"/>
                <w:highlight w:val="none"/>
                <w:lang w:val="ru-RU" w:eastAsia="zh-CN"/>
              </w:rPr>
            </w:pPr>
            <w:r>
              <w:rPr>
                <w:rFonts w:hint="eastAsia" w:asciiTheme="minorEastAsia" w:hAnsiTheme="minorEastAsia" w:eastAsiaTheme="minorEastAsia" w:cstheme="minorEastAsia"/>
                <w:color w:val="auto"/>
                <w:sz w:val="21"/>
                <w:szCs w:val="24"/>
                <w:highlight w:val="none"/>
                <w:lang w:val="ru-RU" w:eastAsia="zh-CN"/>
              </w:rPr>
              <w:t>（</w:t>
            </w:r>
            <w:r>
              <w:rPr>
                <w:rFonts w:hint="eastAsia" w:asciiTheme="minorEastAsia" w:hAnsiTheme="minorEastAsia" w:eastAsiaTheme="minorEastAsia" w:cstheme="minorEastAsia"/>
                <w:color w:val="auto"/>
                <w:sz w:val="21"/>
                <w:szCs w:val="24"/>
                <w:highlight w:val="none"/>
                <w:lang w:val="en-US" w:eastAsia="zh-CN"/>
              </w:rPr>
              <w:t>2</w:t>
            </w:r>
            <w:r>
              <w:rPr>
                <w:rFonts w:hint="eastAsia" w:asciiTheme="minorEastAsia" w:hAnsiTheme="minorEastAsia" w:eastAsiaTheme="minorEastAsia" w:cstheme="minorEastAsia"/>
                <w:color w:val="auto"/>
                <w:sz w:val="21"/>
                <w:szCs w:val="24"/>
                <w:highlight w:val="none"/>
                <w:lang w:val="ru-RU" w:eastAsia="zh-CN"/>
              </w:rPr>
              <w:t>）项目团队成员（除</w:t>
            </w:r>
            <w:r>
              <w:rPr>
                <w:rFonts w:hint="eastAsia" w:asciiTheme="minorEastAsia" w:hAnsiTheme="minorEastAsia" w:cstheme="minorEastAsia"/>
                <w:color w:val="auto"/>
                <w:sz w:val="21"/>
                <w:szCs w:val="24"/>
                <w:highlight w:val="none"/>
                <w:lang w:val="en-US" w:eastAsia="zh-CN"/>
              </w:rPr>
              <w:t>技术</w:t>
            </w:r>
            <w:r>
              <w:rPr>
                <w:rFonts w:hint="eastAsia" w:asciiTheme="minorEastAsia" w:hAnsiTheme="minorEastAsia" w:eastAsiaTheme="minorEastAsia" w:cstheme="minorEastAsia"/>
                <w:color w:val="auto"/>
                <w:sz w:val="21"/>
                <w:szCs w:val="24"/>
                <w:highlight w:val="none"/>
                <w:lang w:val="ru-RU" w:eastAsia="zh-CN"/>
              </w:rPr>
              <w:t>负责人外）：每有一名人员具有中级</w:t>
            </w:r>
            <w:r>
              <w:rPr>
                <w:rFonts w:hint="eastAsia" w:asciiTheme="minorEastAsia" w:hAnsiTheme="minorEastAsia" w:cstheme="minorEastAsia"/>
                <w:color w:val="auto"/>
                <w:sz w:val="21"/>
                <w:szCs w:val="24"/>
                <w:highlight w:val="none"/>
                <w:lang w:val="en-US" w:eastAsia="zh-CN"/>
              </w:rPr>
              <w:t>及以上</w:t>
            </w:r>
            <w:r>
              <w:rPr>
                <w:rFonts w:hint="eastAsia" w:asciiTheme="minorEastAsia" w:hAnsiTheme="minorEastAsia" w:eastAsiaTheme="minorEastAsia" w:cstheme="minorEastAsia"/>
                <w:color w:val="auto"/>
                <w:sz w:val="21"/>
                <w:szCs w:val="24"/>
                <w:highlight w:val="none"/>
                <w:lang w:val="ru-RU" w:eastAsia="zh-CN"/>
              </w:rPr>
              <w:t>职称（水利工程专业、水文水资源专业、</w:t>
            </w:r>
            <w:r>
              <w:rPr>
                <w:rFonts w:hint="eastAsia" w:asciiTheme="minorEastAsia" w:hAnsiTheme="minorEastAsia" w:cstheme="minorEastAsia"/>
                <w:color w:val="auto"/>
                <w:sz w:val="21"/>
                <w:szCs w:val="24"/>
                <w:highlight w:val="none"/>
                <w:lang w:val="en-US" w:eastAsia="zh-CN"/>
              </w:rPr>
              <w:t>水土保持</w:t>
            </w:r>
            <w:r>
              <w:rPr>
                <w:rFonts w:hint="eastAsia" w:asciiTheme="minorEastAsia" w:hAnsiTheme="minorEastAsia" w:eastAsiaTheme="minorEastAsia" w:cstheme="minorEastAsia"/>
                <w:color w:val="auto"/>
                <w:sz w:val="21"/>
                <w:szCs w:val="24"/>
                <w:highlight w:val="none"/>
                <w:lang w:val="ru-RU" w:eastAsia="zh-CN"/>
              </w:rPr>
              <w:t>专业等与本项目相关专业）得</w:t>
            </w:r>
            <w:r>
              <w:rPr>
                <w:rFonts w:hint="eastAsia" w:asciiTheme="minorEastAsia" w:hAnsiTheme="minorEastAsia" w:cstheme="minorEastAsia"/>
                <w:color w:val="auto"/>
                <w:sz w:val="21"/>
                <w:szCs w:val="24"/>
                <w:highlight w:val="none"/>
                <w:lang w:val="en-US" w:eastAsia="zh-CN"/>
              </w:rPr>
              <w:t>5</w:t>
            </w:r>
            <w:r>
              <w:rPr>
                <w:rFonts w:hint="eastAsia" w:asciiTheme="minorEastAsia" w:hAnsiTheme="minorEastAsia" w:eastAsiaTheme="minorEastAsia" w:cstheme="minorEastAsia"/>
                <w:color w:val="auto"/>
                <w:sz w:val="21"/>
                <w:szCs w:val="24"/>
                <w:highlight w:val="none"/>
                <w:lang w:val="ru-RU" w:eastAsia="zh-CN"/>
              </w:rPr>
              <w:t>分；本项最高得</w:t>
            </w:r>
            <w:r>
              <w:rPr>
                <w:rFonts w:hint="eastAsia" w:asciiTheme="minorEastAsia" w:hAnsiTheme="minorEastAsia" w:cstheme="minorEastAsia"/>
                <w:color w:val="auto"/>
                <w:sz w:val="21"/>
                <w:szCs w:val="24"/>
                <w:highlight w:val="none"/>
                <w:lang w:val="en-US" w:eastAsia="zh-CN"/>
              </w:rPr>
              <w:t>10</w:t>
            </w:r>
            <w:r>
              <w:rPr>
                <w:rFonts w:hint="eastAsia" w:asciiTheme="minorEastAsia" w:hAnsiTheme="minorEastAsia" w:eastAsiaTheme="minorEastAsia" w:cstheme="minorEastAsia"/>
                <w:color w:val="auto"/>
                <w:sz w:val="21"/>
                <w:szCs w:val="24"/>
                <w:highlight w:val="none"/>
                <w:lang w:val="ru-RU" w:eastAsia="zh-CN"/>
              </w:rPr>
              <w:t>分。</w:t>
            </w:r>
          </w:p>
          <w:p w14:paraId="18E8B6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1"/>
                <w:szCs w:val="24"/>
                <w:lang w:val="ru-RU" w:eastAsia="zh-CN"/>
              </w:rPr>
            </w:pPr>
            <w:r>
              <w:rPr>
                <w:rFonts w:hint="eastAsia" w:asciiTheme="minorEastAsia" w:hAnsiTheme="minorEastAsia" w:eastAsiaTheme="minorEastAsia" w:cstheme="minorEastAsia"/>
                <w:b/>
                <w:bCs/>
                <w:color w:val="auto"/>
                <w:sz w:val="21"/>
                <w:szCs w:val="24"/>
                <w:highlight w:val="none"/>
                <w:lang w:val="ru-RU" w:eastAsia="zh-CN"/>
              </w:rPr>
              <w:t>注：以上人员不重复计分，提供</w:t>
            </w:r>
            <w:r>
              <w:rPr>
                <w:rFonts w:hint="eastAsia" w:asciiTheme="minorEastAsia" w:hAnsiTheme="minorEastAsia" w:cstheme="minorEastAsia"/>
                <w:b/>
                <w:bCs/>
                <w:color w:val="auto"/>
                <w:sz w:val="21"/>
                <w:szCs w:val="24"/>
                <w:highlight w:val="none"/>
                <w:lang w:val="en-US" w:eastAsia="zh-CN"/>
              </w:rPr>
              <w:t>有效身份证、毕业证书或职称证书、聘用合同（或社保证明）</w:t>
            </w:r>
            <w:r>
              <w:rPr>
                <w:rFonts w:hint="eastAsia" w:asciiTheme="minorEastAsia" w:hAnsiTheme="minorEastAsia" w:eastAsiaTheme="minorEastAsia" w:cstheme="minorEastAsia"/>
                <w:b/>
                <w:bCs/>
                <w:color w:val="auto"/>
                <w:sz w:val="21"/>
                <w:szCs w:val="24"/>
                <w:highlight w:val="none"/>
                <w:lang w:val="ru-RU" w:eastAsia="zh-CN"/>
              </w:rPr>
              <w:t>复印件并加供应商盖公章。</w:t>
            </w:r>
            <w:bookmarkEnd w:id="95"/>
          </w:p>
        </w:tc>
        <w:tc>
          <w:tcPr>
            <w:tcW w:w="958" w:type="dxa"/>
            <w:tcBorders>
              <w:top w:val="single" w:color="auto" w:sz="6" w:space="0"/>
              <w:left w:val="single" w:color="auto" w:sz="6" w:space="0"/>
              <w:bottom w:val="single" w:color="auto" w:sz="6" w:space="0"/>
              <w:right w:val="single" w:color="auto" w:sz="6" w:space="0"/>
            </w:tcBorders>
            <w:vAlign w:val="center"/>
          </w:tcPr>
          <w:p w14:paraId="11CBA5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p>
          <w:p w14:paraId="441B19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r>
              <w:rPr>
                <w:rFonts w:hint="eastAsia" w:asciiTheme="minorEastAsia" w:hAnsiTheme="minorEastAsia" w:eastAsiaTheme="minorEastAsia" w:cstheme="minorEastAsia"/>
                <w:color w:val="auto"/>
                <w:sz w:val="21"/>
                <w:szCs w:val="24"/>
                <w:lang w:val="ru-RU" w:eastAsia="zh-CN"/>
              </w:rPr>
              <w:t>0-</w:t>
            </w:r>
            <w:r>
              <w:rPr>
                <w:rFonts w:hint="eastAsia" w:asciiTheme="minorEastAsia" w:hAnsiTheme="minorEastAsia" w:eastAsiaTheme="minorEastAsia" w:cstheme="minorEastAsia"/>
                <w:color w:val="auto"/>
                <w:sz w:val="21"/>
                <w:szCs w:val="24"/>
                <w:lang w:val="en-US" w:eastAsia="zh-CN"/>
              </w:rPr>
              <w:t>2</w:t>
            </w:r>
            <w:r>
              <w:rPr>
                <w:rFonts w:hint="eastAsia" w:asciiTheme="minorEastAsia" w:hAnsiTheme="minorEastAsia" w:cstheme="minorEastAsia"/>
                <w:color w:val="auto"/>
                <w:sz w:val="21"/>
                <w:szCs w:val="24"/>
                <w:lang w:val="en-US" w:eastAsia="zh-CN"/>
              </w:rPr>
              <w:t>0</w:t>
            </w:r>
            <w:r>
              <w:rPr>
                <w:rFonts w:hint="eastAsia" w:asciiTheme="minorEastAsia" w:hAnsiTheme="minorEastAsia" w:eastAsiaTheme="minorEastAsia" w:cstheme="minorEastAsia"/>
                <w:color w:val="auto"/>
                <w:sz w:val="21"/>
                <w:szCs w:val="24"/>
                <w:lang w:val="ru-RU" w:eastAsia="zh-CN"/>
              </w:rPr>
              <w:t>分</w:t>
            </w:r>
          </w:p>
        </w:tc>
      </w:tr>
      <w:tr w14:paraId="3CB9F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8" w:hRule="atLeast"/>
        </w:trPr>
        <w:tc>
          <w:tcPr>
            <w:tcW w:w="462" w:type="dxa"/>
            <w:tcBorders>
              <w:top w:val="single" w:color="auto" w:sz="6" w:space="0"/>
              <w:left w:val="single" w:color="auto" w:sz="6" w:space="0"/>
              <w:right w:val="single" w:color="auto" w:sz="6" w:space="0"/>
            </w:tcBorders>
            <w:vAlign w:val="center"/>
          </w:tcPr>
          <w:p w14:paraId="3C26F9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w:t>
            </w:r>
          </w:p>
        </w:tc>
        <w:tc>
          <w:tcPr>
            <w:tcW w:w="858" w:type="dxa"/>
            <w:tcBorders>
              <w:top w:val="single" w:color="auto" w:sz="6" w:space="0"/>
              <w:left w:val="single" w:color="auto" w:sz="6" w:space="0"/>
              <w:right w:val="single" w:color="auto" w:sz="6" w:space="0"/>
            </w:tcBorders>
            <w:vAlign w:val="center"/>
          </w:tcPr>
          <w:p w14:paraId="093715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r>
              <w:rPr>
                <w:rFonts w:hint="eastAsia" w:asciiTheme="minorEastAsia" w:hAnsiTheme="minorEastAsia" w:eastAsiaTheme="minorEastAsia" w:cstheme="minorEastAsia"/>
                <w:color w:val="auto"/>
                <w:sz w:val="21"/>
                <w:szCs w:val="24"/>
                <w:lang w:val="ru-RU" w:eastAsia="zh-CN"/>
              </w:rPr>
              <w:t>技术部分（</w:t>
            </w:r>
            <w:r>
              <w:rPr>
                <w:rFonts w:hint="eastAsia" w:asciiTheme="minorEastAsia" w:hAnsiTheme="minorEastAsia" w:eastAsiaTheme="minorEastAsia" w:cstheme="minorEastAsia"/>
                <w:color w:val="auto"/>
                <w:sz w:val="21"/>
                <w:szCs w:val="24"/>
                <w:lang w:val="en-US" w:eastAsia="zh-CN"/>
              </w:rPr>
              <w:t>50</w:t>
            </w:r>
            <w:r>
              <w:rPr>
                <w:rFonts w:hint="eastAsia" w:asciiTheme="minorEastAsia" w:hAnsiTheme="minorEastAsia" w:eastAsiaTheme="minorEastAsia" w:cstheme="minorEastAsia"/>
                <w:color w:val="auto"/>
                <w:sz w:val="21"/>
                <w:szCs w:val="24"/>
                <w:lang w:val="ru-RU" w:eastAsia="zh-CN"/>
              </w:rPr>
              <w:t>分）</w:t>
            </w:r>
          </w:p>
        </w:tc>
        <w:tc>
          <w:tcPr>
            <w:tcW w:w="1328" w:type="dxa"/>
            <w:tcBorders>
              <w:top w:val="single" w:color="auto" w:sz="6" w:space="0"/>
              <w:left w:val="single" w:color="auto" w:sz="6" w:space="0"/>
              <w:bottom w:val="single" w:color="auto" w:sz="6" w:space="0"/>
              <w:right w:val="single" w:color="auto" w:sz="6" w:space="0"/>
            </w:tcBorders>
            <w:vAlign w:val="center"/>
          </w:tcPr>
          <w:p w14:paraId="11094A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r>
              <w:rPr>
                <w:rFonts w:hint="eastAsia" w:asciiTheme="minorEastAsia" w:hAnsiTheme="minorEastAsia" w:eastAsiaTheme="minorEastAsia" w:cstheme="minorEastAsia"/>
                <w:color w:val="auto"/>
                <w:sz w:val="21"/>
                <w:szCs w:val="24"/>
                <w:lang w:val="ru-RU" w:eastAsia="zh-CN"/>
              </w:rPr>
              <w:t>编制方案（</w:t>
            </w:r>
            <w:r>
              <w:rPr>
                <w:rFonts w:hint="eastAsia" w:asciiTheme="minorEastAsia" w:hAnsiTheme="minorEastAsia" w:eastAsiaTheme="minorEastAsia" w:cstheme="minorEastAsia"/>
                <w:color w:val="auto"/>
                <w:sz w:val="21"/>
                <w:szCs w:val="24"/>
                <w:lang w:val="en-US" w:eastAsia="zh-CN"/>
              </w:rPr>
              <w:t>50</w:t>
            </w:r>
            <w:r>
              <w:rPr>
                <w:rFonts w:hint="eastAsia" w:asciiTheme="minorEastAsia" w:hAnsiTheme="minorEastAsia" w:eastAsiaTheme="minorEastAsia" w:cstheme="minorEastAsia"/>
                <w:color w:val="auto"/>
                <w:sz w:val="21"/>
                <w:szCs w:val="24"/>
                <w:lang w:val="ru-RU" w:eastAsia="zh-CN"/>
              </w:rPr>
              <w:t>分）</w:t>
            </w:r>
          </w:p>
        </w:tc>
        <w:tc>
          <w:tcPr>
            <w:tcW w:w="6249" w:type="dxa"/>
            <w:tcBorders>
              <w:top w:val="single" w:color="auto" w:sz="6" w:space="0"/>
              <w:left w:val="single" w:color="auto" w:sz="6" w:space="0"/>
              <w:bottom w:val="single" w:color="auto" w:sz="6" w:space="0"/>
              <w:right w:val="single" w:color="auto" w:sz="6" w:space="0"/>
            </w:tcBorders>
            <w:vAlign w:val="center"/>
          </w:tcPr>
          <w:p w14:paraId="358658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1"/>
                <w:szCs w:val="24"/>
                <w:lang w:val="en-US" w:eastAsia="zh-CN"/>
              </w:rPr>
            </w:pPr>
            <w:r>
              <w:rPr>
                <w:rFonts w:hint="eastAsia" w:asciiTheme="minorEastAsia" w:hAnsiTheme="minorEastAsia" w:eastAsiaTheme="minorEastAsia" w:cstheme="minorEastAsia"/>
                <w:color w:val="auto"/>
                <w:sz w:val="21"/>
                <w:szCs w:val="24"/>
                <w:lang w:val="ru-RU" w:eastAsia="zh-CN"/>
              </w:rPr>
              <w:t>（</w:t>
            </w:r>
            <w:r>
              <w:rPr>
                <w:rFonts w:hint="eastAsia" w:asciiTheme="minorEastAsia" w:hAnsiTheme="minorEastAsia" w:eastAsiaTheme="minorEastAsia" w:cstheme="minorEastAsia"/>
                <w:color w:val="auto"/>
                <w:sz w:val="21"/>
                <w:szCs w:val="24"/>
                <w:lang w:val="en-US" w:eastAsia="zh-CN"/>
              </w:rPr>
              <w:t>1</w:t>
            </w:r>
            <w:r>
              <w:rPr>
                <w:rFonts w:hint="eastAsia" w:asciiTheme="minorEastAsia" w:hAnsiTheme="minorEastAsia" w:eastAsiaTheme="minorEastAsia" w:cstheme="minorEastAsia"/>
                <w:color w:val="auto"/>
                <w:sz w:val="21"/>
                <w:szCs w:val="24"/>
                <w:lang w:val="ru-RU" w:eastAsia="zh-CN"/>
              </w:rPr>
              <w:t>）服务方案</w:t>
            </w:r>
            <w:r>
              <w:rPr>
                <w:rFonts w:hint="eastAsia" w:asciiTheme="minorEastAsia" w:hAnsiTheme="minorEastAsia" w:eastAsiaTheme="minorEastAsia" w:cstheme="minorEastAsia"/>
                <w:color w:val="auto"/>
                <w:sz w:val="21"/>
                <w:szCs w:val="24"/>
                <w:lang w:val="en-US" w:eastAsia="zh-CN"/>
              </w:rPr>
              <w:t>（30分):</w:t>
            </w:r>
          </w:p>
          <w:p w14:paraId="0ABC88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1"/>
                <w:szCs w:val="24"/>
                <w:lang w:val="ru-RU" w:eastAsia="zh-CN"/>
              </w:rPr>
            </w:pPr>
            <w:r>
              <w:rPr>
                <w:rFonts w:hint="eastAsia" w:asciiTheme="minorEastAsia" w:hAnsiTheme="minorEastAsia" w:eastAsiaTheme="minorEastAsia" w:cstheme="minorEastAsia"/>
                <w:color w:val="auto"/>
                <w:sz w:val="21"/>
                <w:szCs w:val="24"/>
                <w:lang w:val="ru-RU" w:eastAsia="zh-CN"/>
              </w:rPr>
              <w:t>根据供应商提供针对本项目的服务方案进行评审，内容包含以下方面：①对本项目的背景和目标的理解；②项目的重点和难点的分析；③项目进度控制措施；④项目实施安排；⑤应急措施</w:t>
            </w:r>
            <w:r>
              <w:rPr>
                <w:rFonts w:hint="eastAsia" w:asciiTheme="minorEastAsia" w:hAnsiTheme="minorEastAsia" w:cstheme="minorEastAsia"/>
                <w:color w:val="auto"/>
                <w:sz w:val="21"/>
                <w:szCs w:val="24"/>
                <w:lang w:val="ru-RU" w:eastAsia="zh-CN"/>
              </w:rPr>
              <w:t>。对以上内容</w:t>
            </w:r>
            <w:r>
              <w:rPr>
                <w:rFonts w:hint="eastAsia" w:asciiTheme="minorEastAsia" w:hAnsiTheme="minorEastAsia" w:eastAsiaTheme="minorEastAsia" w:cstheme="minorEastAsia"/>
                <w:color w:val="auto"/>
                <w:sz w:val="21"/>
                <w:szCs w:val="24"/>
                <w:lang w:val="ru-RU" w:eastAsia="zh-CN"/>
              </w:rPr>
              <w:t>进行综合评分，</w:t>
            </w:r>
            <w:r>
              <w:rPr>
                <w:rFonts w:hint="eastAsia" w:asciiTheme="minorEastAsia" w:hAnsiTheme="minorEastAsia" w:cstheme="minorEastAsia"/>
                <w:color w:val="auto"/>
                <w:sz w:val="21"/>
                <w:szCs w:val="24"/>
                <w:lang w:val="ru-RU" w:eastAsia="zh-CN"/>
              </w:rPr>
              <w:t>方案</w:t>
            </w:r>
            <w:r>
              <w:rPr>
                <w:rFonts w:hint="eastAsia" w:asciiTheme="minorEastAsia" w:hAnsiTheme="minorEastAsia" w:eastAsiaTheme="minorEastAsia" w:cstheme="minorEastAsia"/>
                <w:color w:val="auto"/>
                <w:sz w:val="21"/>
                <w:szCs w:val="24"/>
                <w:lang w:val="ru-RU" w:eastAsia="zh-CN"/>
              </w:rPr>
              <w:t>符合采购文件要求的得30分，每有一项缺项或漏项扣6分，每有一项内容有缺陷扣3分，扣完为止。</w:t>
            </w:r>
          </w:p>
          <w:p w14:paraId="52AE98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sz w:val="21"/>
                <w:szCs w:val="24"/>
                <w:lang w:val="ru-RU" w:eastAsia="zh-CN"/>
              </w:rPr>
            </w:pPr>
            <w:r>
              <w:rPr>
                <w:rFonts w:hint="eastAsia" w:asciiTheme="minorEastAsia" w:hAnsiTheme="minorEastAsia" w:eastAsiaTheme="minorEastAsia" w:cstheme="minorEastAsia"/>
                <w:b/>
                <w:bCs/>
                <w:color w:val="auto"/>
                <w:sz w:val="21"/>
                <w:szCs w:val="24"/>
                <w:lang w:val="ru-RU" w:eastAsia="zh-CN"/>
              </w:rPr>
              <w:t>注：内容缺陷是指非专门针对本项目或不适用项目特性的情形、内容不完整或缺少关键节点、套用其他项目方案、内容前后矛盾、涉及的规范及标准错误、不利于项目实施、不可能实现的情形等任意一种情形。</w:t>
            </w:r>
          </w:p>
          <w:p w14:paraId="4A64BF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1"/>
                <w:szCs w:val="24"/>
                <w:lang w:val="ru-RU" w:eastAsia="zh-CN"/>
              </w:rPr>
            </w:pPr>
            <w:r>
              <w:rPr>
                <w:rFonts w:hint="eastAsia" w:asciiTheme="minorEastAsia" w:hAnsiTheme="minorEastAsia" w:eastAsiaTheme="minorEastAsia" w:cstheme="minorEastAsia"/>
                <w:color w:val="auto"/>
                <w:sz w:val="21"/>
                <w:szCs w:val="24"/>
                <w:lang w:val="ru-RU" w:eastAsia="zh-CN"/>
              </w:rPr>
              <w:t>（</w:t>
            </w:r>
            <w:r>
              <w:rPr>
                <w:rFonts w:hint="eastAsia" w:asciiTheme="minorEastAsia" w:hAnsiTheme="minorEastAsia" w:eastAsiaTheme="minorEastAsia" w:cstheme="minorEastAsia"/>
                <w:color w:val="auto"/>
                <w:sz w:val="21"/>
                <w:szCs w:val="24"/>
                <w:lang w:val="en-US" w:eastAsia="zh-CN"/>
              </w:rPr>
              <w:t>2</w:t>
            </w:r>
            <w:r>
              <w:rPr>
                <w:rFonts w:hint="eastAsia" w:asciiTheme="minorEastAsia" w:hAnsiTheme="minorEastAsia" w:eastAsiaTheme="minorEastAsia" w:cstheme="minorEastAsia"/>
                <w:color w:val="auto"/>
                <w:sz w:val="21"/>
                <w:szCs w:val="24"/>
                <w:lang w:val="ru-RU" w:eastAsia="zh-CN"/>
              </w:rPr>
              <w:t>）</w:t>
            </w:r>
            <w:bookmarkStart w:id="96" w:name="OLE_LINK13"/>
            <w:r>
              <w:rPr>
                <w:rFonts w:hint="eastAsia" w:asciiTheme="minorEastAsia" w:hAnsiTheme="minorEastAsia" w:eastAsiaTheme="minorEastAsia" w:cstheme="minorEastAsia"/>
                <w:color w:val="auto"/>
                <w:sz w:val="21"/>
                <w:szCs w:val="24"/>
                <w:lang w:val="ru-RU" w:eastAsia="zh-CN"/>
              </w:rPr>
              <w:t>服务质量保障方案（</w:t>
            </w:r>
            <w:r>
              <w:rPr>
                <w:rFonts w:hint="eastAsia" w:asciiTheme="minorEastAsia" w:hAnsiTheme="minorEastAsia" w:eastAsiaTheme="minorEastAsia" w:cstheme="minorEastAsia"/>
                <w:color w:val="auto"/>
                <w:sz w:val="21"/>
                <w:szCs w:val="24"/>
                <w:lang w:val="en-US" w:eastAsia="zh-CN"/>
              </w:rPr>
              <w:t>20分</w:t>
            </w:r>
            <w:r>
              <w:rPr>
                <w:rFonts w:hint="eastAsia" w:asciiTheme="minorEastAsia" w:hAnsiTheme="minorEastAsia" w:eastAsiaTheme="minorEastAsia" w:cstheme="minorEastAsia"/>
                <w:color w:val="auto"/>
                <w:sz w:val="21"/>
                <w:szCs w:val="24"/>
                <w:lang w:val="ru-RU" w:eastAsia="zh-CN"/>
              </w:rPr>
              <w:t>）</w:t>
            </w:r>
          </w:p>
          <w:bookmarkEnd w:id="96"/>
          <w:p w14:paraId="74E1AB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1"/>
                <w:szCs w:val="24"/>
                <w:lang w:val="ru-RU" w:eastAsia="zh-CN"/>
              </w:rPr>
            </w:pPr>
            <w:r>
              <w:rPr>
                <w:rFonts w:hint="eastAsia" w:asciiTheme="minorEastAsia" w:hAnsiTheme="minorEastAsia" w:eastAsiaTheme="minorEastAsia" w:cstheme="minorEastAsia"/>
                <w:color w:val="auto"/>
                <w:sz w:val="21"/>
                <w:szCs w:val="24"/>
                <w:lang w:val="ru-RU" w:eastAsia="zh-CN"/>
              </w:rPr>
              <w:t>根据供应商提供针对本项目的服务质量保障方案进行评审，内容包含以下方面：①质量保障目标；②质量保障机制；③质量保障方法；④</w:t>
            </w:r>
            <w:r>
              <w:rPr>
                <w:rFonts w:hint="eastAsia" w:asciiTheme="minorEastAsia" w:hAnsiTheme="minorEastAsia" w:cstheme="minorEastAsia"/>
                <w:color w:val="auto"/>
                <w:sz w:val="21"/>
                <w:szCs w:val="24"/>
                <w:lang w:val="ru-RU" w:eastAsia="zh-CN"/>
              </w:rPr>
              <w:t>保密</w:t>
            </w:r>
            <w:r>
              <w:rPr>
                <w:rFonts w:hint="eastAsia" w:asciiTheme="minorEastAsia" w:hAnsiTheme="minorEastAsia" w:eastAsiaTheme="minorEastAsia" w:cstheme="minorEastAsia"/>
                <w:color w:val="auto"/>
                <w:sz w:val="21"/>
                <w:szCs w:val="24"/>
                <w:lang w:val="ru-RU" w:eastAsia="zh-CN"/>
              </w:rPr>
              <w:t>措施</w:t>
            </w:r>
            <w:r>
              <w:rPr>
                <w:rFonts w:hint="eastAsia" w:asciiTheme="minorEastAsia" w:hAnsiTheme="minorEastAsia" w:cstheme="minorEastAsia"/>
                <w:color w:val="auto"/>
                <w:sz w:val="21"/>
                <w:szCs w:val="24"/>
                <w:lang w:val="ru-RU" w:eastAsia="zh-CN"/>
              </w:rPr>
              <w:t>。对以上内容</w:t>
            </w:r>
            <w:r>
              <w:rPr>
                <w:rFonts w:hint="eastAsia" w:asciiTheme="minorEastAsia" w:hAnsiTheme="minorEastAsia" w:eastAsiaTheme="minorEastAsia" w:cstheme="minorEastAsia"/>
                <w:color w:val="auto"/>
                <w:sz w:val="21"/>
                <w:szCs w:val="24"/>
                <w:lang w:val="ru-RU" w:eastAsia="zh-CN"/>
              </w:rPr>
              <w:t>进行综合评分，</w:t>
            </w:r>
            <w:r>
              <w:rPr>
                <w:rFonts w:hint="eastAsia" w:asciiTheme="minorEastAsia" w:hAnsiTheme="minorEastAsia" w:cstheme="minorEastAsia"/>
                <w:color w:val="auto"/>
                <w:sz w:val="21"/>
                <w:szCs w:val="24"/>
                <w:lang w:val="ru-RU" w:eastAsia="zh-CN"/>
              </w:rPr>
              <w:t>方案</w:t>
            </w:r>
            <w:r>
              <w:rPr>
                <w:rFonts w:hint="eastAsia" w:asciiTheme="minorEastAsia" w:hAnsiTheme="minorEastAsia" w:eastAsiaTheme="minorEastAsia" w:cstheme="minorEastAsia"/>
                <w:color w:val="auto"/>
                <w:sz w:val="21"/>
                <w:szCs w:val="24"/>
                <w:lang w:val="ru-RU" w:eastAsia="zh-CN"/>
              </w:rPr>
              <w:t>符合采购文件要求的得</w:t>
            </w:r>
            <w:r>
              <w:rPr>
                <w:rFonts w:hint="eastAsia" w:asciiTheme="minorEastAsia" w:hAnsiTheme="minorEastAsia" w:eastAsiaTheme="minorEastAsia" w:cstheme="minorEastAsia"/>
                <w:color w:val="auto"/>
                <w:sz w:val="21"/>
                <w:szCs w:val="24"/>
                <w:lang w:val="en-US" w:eastAsia="zh-CN"/>
              </w:rPr>
              <w:t>20</w:t>
            </w:r>
            <w:r>
              <w:rPr>
                <w:rFonts w:hint="eastAsia" w:asciiTheme="minorEastAsia" w:hAnsiTheme="minorEastAsia" w:eastAsiaTheme="minorEastAsia" w:cstheme="minorEastAsia"/>
                <w:color w:val="auto"/>
                <w:sz w:val="21"/>
                <w:szCs w:val="24"/>
                <w:lang w:val="ru-RU" w:eastAsia="zh-CN"/>
              </w:rPr>
              <w:t>分，每有一项缺项或漏项扣</w:t>
            </w:r>
            <w:r>
              <w:rPr>
                <w:rFonts w:hint="eastAsia" w:asciiTheme="minorEastAsia" w:hAnsiTheme="minorEastAsia" w:eastAsiaTheme="minorEastAsia" w:cstheme="minorEastAsia"/>
                <w:color w:val="auto"/>
                <w:sz w:val="21"/>
                <w:szCs w:val="24"/>
                <w:lang w:val="en-US" w:eastAsia="zh-CN"/>
              </w:rPr>
              <w:t>5</w:t>
            </w:r>
            <w:r>
              <w:rPr>
                <w:rFonts w:hint="eastAsia" w:asciiTheme="minorEastAsia" w:hAnsiTheme="minorEastAsia" w:eastAsiaTheme="minorEastAsia" w:cstheme="minorEastAsia"/>
                <w:color w:val="auto"/>
                <w:sz w:val="21"/>
                <w:szCs w:val="24"/>
                <w:lang w:val="ru-RU" w:eastAsia="zh-CN"/>
              </w:rPr>
              <w:t>分，每有一项内容有缺陷扣3分，扣完为止。</w:t>
            </w:r>
          </w:p>
          <w:p w14:paraId="620BAE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lang w:val="en-US" w:eastAsia="zh-CN"/>
              </w:rPr>
            </w:pPr>
            <w:r>
              <w:rPr>
                <w:rFonts w:hint="eastAsia" w:asciiTheme="minorEastAsia" w:hAnsiTheme="minorEastAsia" w:eastAsiaTheme="minorEastAsia" w:cstheme="minorEastAsia"/>
                <w:b/>
                <w:bCs/>
                <w:color w:val="auto"/>
                <w:sz w:val="21"/>
                <w:szCs w:val="24"/>
                <w:lang w:val="ru-RU" w:eastAsia="zh-CN"/>
              </w:rPr>
              <w:t>注：内容缺陷是指非专门针对本项目或不适用项目特性的情形、内容不完整或缺少关键节点、套用其他项目方案、内容前后矛盾、涉及的规范及标准错误、不利于项目实施、不可能实现的情形等任意一种情形。</w:t>
            </w:r>
          </w:p>
        </w:tc>
        <w:tc>
          <w:tcPr>
            <w:tcW w:w="958" w:type="dxa"/>
            <w:tcBorders>
              <w:top w:val="single" w:color="auto" w:sz="6" w:space="0"/>
              <w:left w:val="single" w:color="auto" w:sz="6" w:space="0"/>
              <w:bottom w:val="single" w:color="auto" w:sz="6" w:space="0"/>
              <w:right w:val="single" w:color="auto" w:sz="6" w:space="0"/>
            </w:tcBorders>
            <w:vAlign w:val="center"/>
          </w:tcPr>
          <w:p w14:paraId="0A959F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p>
          <w:p w14:paraId="795796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p>
          <w:p w14:paraId="2312D0A7">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p>
          <w:p w14:paraId="60EEDD2F">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p>
          <w:p w14:paraId="536570C4">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p>
          <w:p w14:paraId="32A45257">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p>
          <w:p w14:paraId="1C80D923">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p>
          <w:p w14:paraId="43680CD7">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p>
          <w:p w14:paraId="1E062BB7">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p>
          <w:p w14:paraId="0DEB0F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r>
              <w:rPr>
                <w:rFonts w:hint="eastAsia" w:asciiTheme="minorEastAsia" w:hAnsiTheme="minorEastAsia" w:eastAsiaTheme="minorEastAsia" w:cstheme="minorEastAsia"/>
                <w:color w:val="auto"/>
                <w:sz w:val="21"/>
                <w:szCs w:val="24"/>
                <w:lang w:val="ru-RU" w:eastAsia="zh-CN"/>
              </w:rPr>
              <w:t>0-</w:t>
            </w:r>
            <w:r>
              <w:rPr>
                <w:rFonts w:hint="eastAsia" w:asciiTheme="minorEastAsia" w:hAnsiTheme="minorEastAsia" w:eastAsiaTheme="minorEastAsia" w:cstheme="minorEastAsia"/>
                <w:color w:val="auto"/>
                <w:sz w:val="21"/>
                <w:szCs w:val="24"/>
                <w:lang w:val="en-US" w:eastAsia="zh-CN"/>
              </w:rPr>
              <w:t>50</w:t>
            </w:r>
            <w:r>
              <w:rPr>
                <w:rFonts w:hint="eastAsia" w:asciiTheme="minorEastAsia" w:hAnsiTheme="minorEastAsia" w:eastAsiaTheme="minorEastAsia" w:cstheme="minorEastAsia"/>
                <w:color w:val="auto"/>
                <w:sz w:val="21"/>
                <w:szCs w:val="24"/>
                <w:lang w:val="ru-RU" w:eastAsia="zh-CN"/>
              </w:rPr>
              <w:t>分</w:t>
            </w:r>
          </w:p>
        </w:tc>
      </w:tr>
      <w:tr w14:paraId="1CA81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1" w:hRule="atLeast"/>
        </w:trPr>
        <w:tc>
          <w:tcPr>
            <w:tcW w:w="462" w:type="dxa"/>
            <w:tcBorders>
              <w:left w:val="single" w:color="auto" w:sz="6" w:space="0"/>
              <w:right w:val="single" w:color="auto" w:sz="6" w:space="0"/>
            </w:tcBorders>
            <w:vAlign w:val="center"/>
          </w:tcPr>
          <w:p w14:paraId="12D828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w:t>
            </w:r>
          </w:p>
        </w:tc>
        <w:tc>
          <w:tcPr>
            <w:tcW w:w="858" w:type="dxa"/>
            <w:tcBorders>
              <w:left w:val="single" w:color="auto" w:sz="6" w:space="0"/>
              <w:right w:val="single" w:color="auto" w:sz="6" w:space="0"/>
            </w:tcBorders>
            <w:vAlign w:val="center"/>
          </w:tcPr>
          <w:p w14:paraId="4765FC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r>
              <w:rPr>
                <w:rFonts w:hint="eastAsia" w:asciiTheme="minorEastAsia" w:hAnsiTheme="minorEastAsia" w:eastAsiaTheme="minorEastAsia" w:cstheme="minorEastAsia"/>
                <w:color w:val="auto"/>
                <w:sz w:val="21"/>
                <w:szCs w:val="24"/>
                <w:lang w:val="ru-RU" w:eastAsia="zh-CN"/>
              </w:rPr>
              <w:t>价格部分（</w:t>
            </w:r>
            <w:r>
              <w:rPr>
                <w:rFonts w:hint="eastAsia" w:asciiTheme="minorEastAsia" w:hAnsiTheme="minorEastAsia" w:cstheme="minorEastAsia"/>
                <w:color w:val="auto"/>
                <w:sz w:val="21"/>
                <w:szCs w:val="24"/>
                <w:lang w:val="en-US" w:eastAsia="zh-CN"/>
              </w:rPr>
              <w:t>3</w:t>
            </w:r>
            <w:r>
              <w:rPr>
                <w:rFonts w:hint="eastAsia" w:asciiTheme="minorEastAsia" w:hAnsiTheme="minorEastAsia" w:eastAsiaTheme="minorEastAsia" w:cstheme="minorEastAsia"/>
                <w:color w:val="auto"/>
                <w:sz w:val="21"/>
                <w:szCs w:val="24"/>
                <w:lang w:val="en-US" w:eastAsia="zh-CN"/>
              </w:rPr>
              <w:t>0</w:t>
            </w:r>
            <w:r>
              <w:rPr>
                <w:rFonts w:hint="eastAsia" w:asciiTheme="minorEastAsia" w:hAnsiTheme="minorEastAsia" w:eastAsiaTheme="minorEastAsia" w:cstheme="minorEastAsia"/>
                <w:color w:val="auto"/>
                <w:sz w:val="21"/>
                <w:szCs w:val="24"/>
                <w:lang w:val="ru-RU" w:eastAsia="zh-CN"/>
              </w:rPr>
              <w:t>分）</w:t>
            </w:r>
          </w:p>
        </w:tc>
        <w:tc>
          <w:tcPr>
            <w:tcW w:w="1328" w:type="dxa"/>
            <w:tcBorders>
              <w:top w:val="single" w:color="auto" w:sz="6" w:space="0"/>
              <w:left w:val="single" w:color="auto" w:sz="6" w:space="0"/>
              <w:bottom w:val="single" w:color="auto" w:sz="6" w:space="0"/>
              <w:right w:val="single" w:color="auto" w:sz="6" w:space="0"/>
            </w:tcBorders>
            <w:vAlign w:val="center"/>
          </w:tcPr>
          <w:p w14:paraId="3805FE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ru-RU" w:eastAsia="zh-CN"/>
              </w:rPr>
            </w:pPr>
            <w:r>
              <w:rPr>
                <w:rFonts w:hint="eastAsia" w:asciiTheme="minorEastAsia" w:hAnsiTheme="minorEastAsia" w:eastAsiaTheme="minorEastAsia" w:cstheme="minorEastAsia"/>
                <w:color w:val="auto"/>
                <w:sz w:val="21"/>
                <w:szCs w:val="24"/>
                <w:lang w:val="ru-RU" w:eastAsia="zh-CN"/>
              </w:rPr>
              <w:t>价格（</w:t>
            </w:r>
            <w:r>
              <w:rPr>
                <w:rFonts w:hint="eastAsia" w:asciiTheme="minorEastAsia" w:hAnsiTheme="minorEastAsia" w:cstheme="minorEastAsia"/>
                <w:color w:val="auto"/>
                <w:sz w:val="21"/>
                <w:szCs w:val="24"/>
                <w:lang w:val="en-US" w:eastAsia="zh-CN"/>
              </w:rPr>
              <w:t>3</w:t>
            </w:r>
            <w:r>
              <w:rPr>
                <w:rFonts w:hint="eastAsia" w:asciiTheme="minorEastAsia" w:hAnsiTheme="minorEastAsia" w:eastAsiaTheme="minorEastAsia" w:cstheme="minorEastAsia"/>
                <w:color w:val="auto"/>
                <w:sz w:val="21"/>
                <w:szCs w:val="24"/>
                <w:lang w:val="en-US" w:eastAsia="zh-CN"/>
              </w:rPr>
              <w:t>0</w:t>
            </w:r>
            <w:r>
              <w:rPr>
                <w:rFonts w:hint="eastAsia" w:asciiTheme="minorEastAsia" w:hAnsiTheme="minorEastAsia" w:eastAsiaTheme="minorEastAsia" w:cstheme="minorEastAsia"/>
                <w:color w:val="auto"/>
                <w:sz w:val="21"/>
                <w:szCs w:val="24"/>
                <w:lang w:val="ru-RU" w:eastAsia="zh-CN"/>
              </w:rPr>
              <w:t>分）</w:t>
            </w:r>
          </w:p>
        </w:tc>
        <w:tc>
          <w:tcPr>
            <w:tcW w:w="6249" w:type="dxa"/>
            <w:tcBorders>
              <w:top w:val="single" w:color="auto" w:sz="6" w:space="0"/>
              <w:left w:val="single" w:color="auto" w:sz="6" w:space="0"/>
              <w:bottom w:val="single" w:color="auto" w:sz="6" w:space="0"/>
              <w:right w:val="single" w:color="auto" w:sz="6" w:space="0"/>
            </w:tcBorders>
            <w:vAlign w:val="center"/>
          </w:tcPr>
          <w:p w14:paraId="4DA61A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1"/>
                <w:szCs w:val="24"/>
                <w:lang w:val="ru-RU" w:eastAsia="zh-CN"/>
              </w:rPr>
            </w:pPr>
            <w:r>
              <w:rPr>
                <w:rFonts w:hint="eastAsia" w:asciiTheme="minorEastAsia" w:hAnsiTheme="minorEastAsia" w:eastAsiaTheme="minorEastAsia" w:cstheme="minorEastAsia"/>
                <w:color w:val="auto"/>
                <w:sz w:val="21"/>
                <w:szCs w:val="24"/>
                <w:lang w:val="ru-RU" w:eastAsia="zh-CN"/>
              </w:rPr>
              <w:t>满足磋商文件要求且价格最低的报价为评审基准价，其价格分为满分。其他供应商的价格分按下列公式计算：响应报价得分=(评审基准价／响应报价)*</w:t>
            </w:r>
            <w:r>
              <w:rPr>
                <w:rFonts w:hint="eastAsia" w:asciiTheme="minorEastAsia" w:hAnsiTheme="minorEastAsia" w:cstheme="minorEastAsia"/>
                <w:color w:val="auto"/>
                <w:sz w:val="21"/>
                <w:szCs w:val="24"/>
                <w:lang w:val="en-US" w:eastAsia="zh-CN"/>
              </w:rPr>
              <w:t>3</w:t>
            </w:r>
            <w:r>
              <w:rPr>
                <w:rFonts w:hint="eastAsia" w:asciiTheme="minorEastAsia" w:hAnsiTheme="minorEastAsia" w:eastAsiaTheme="minorEastAsia" w:cstheme="minorEastAsia"/>
                <w:color w:val="auto"/>
                <w:sz w:val="21"/>
                <w:szCs w:val="24"/>
                <w:lang w:val="en-US" w:eastAsia="zh-CN"/>
              </w:rPr>
              <w:t>0</w:t>
            </w:r>
            <w:r>
              <w:rPr>
                <w:rFonts w:hint="eastAsia" w:asciiTheme="minorEastAsia" w:hAnsiTheme="minorEastAsia" w:eastAsiaTheme="minorEastAsia" w:cstheme="minorEastAsia"/>
                <w:color w:val="auto"/>
                <w:sz w:val="21"/>
                <w:szCs w:val="24"/>
                <w:lang w:val="ru-RU" w:eastAsia="zh-CN"/>
              </w:rPr>
              <w:t>分</w:t>
            </w:r>
          </w:p>
        </w:tc>
        <w:tc>
          <w:tcPr>
            <w:tcW w:w="958" w:type="dxa"/>
            <w:tcBorders>
              <w:top w:val="single" w:color="auto" w:sz="6" w:space="0"/>
              <w:left w:val="single" w:color="auto" w:sz="6" w:space="0"/>
              <w:bottom w:val="single" w:color="auto" w:sz="6" w:space="0"/>
              <w:right w:val="single" w:color="auto" w:sz="6" w:space="0"/>
            </w:tcBorders>
            <w:vAlign w:val="center"/>
          </w:tcPr>
          <w:p w14:paraId="47FA42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en-US" w:eastAsia="zh-CN"/>
              </w:rPr>
            </w:pPr>
          </w:p>
          <w:p w14:paraId="439EB0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4"/>
                <w:lang w:val="en-US" w:eastAsia="zh-CN"/>
              </w:rPr>
            </w:pPr>
            <w:r>
              <w:rPr>
                <w:rFonts w:hint="eastAsia" w:asciiTheme="minorEastAsia" w:hAnsiTheme="minorEastAsia" w:eastAsiaTheme="minorEastAsia" w:cstheme="minorEastAsia"/>
                <w:color w:val="auto"/>
                <w:sz w:val="21"/>
                <w:szCs w:val="24"/>
                <w:lang w:val="en-US" w:eastAsia="zh-CN"/>
              </w:rPr>
              <w:t>0-</w:t>
            </w:r>
            <w:r>
              <w:rPr>
                <w:rFonts w:hint="eastAsia" w:asciiTheme="minorEastAsia" w:hAnsiTheme="minorEastAsia" w:cstheme="minorEastAsia"/>
                <w:color w:val="auto"/>
                <w:sz w:val="21"/>
                <w:szCs w:val="24"/>
                <w:lang w:val="en-US" w:eastAsia="zh-CN"/>
              </w:rPr>
              <w:t>3</w:t>
            </w:r>
            <w:r>
              <w:rPr>
                <w:rFonts w:hint="eastAsia" w:asciiTheme="minorEastAsia" w:hAnsiTheme="minorEastAsia" w:eastAsiaTheme="minorEastAsia" w:cstheme="minorEastAsia"/>
                <w:color w:val="auto"/>
                <w:sz w:val="21"/>
                <w:szCs w:val="24"/>
                <w:lang w:val="en-US" w:eastAsia="zh-CN"/>
              </w:rPr>
              <w:t>0分</w:t>
            </w:r>
          </w:p>
        </w:tc>
      </w:tr>
    </w:tbl>
    <w:p w14:paraId="76E59D13">
      <w:pPr>
        <w:pStyle w:val="2"/>
        <w:spacing w:line="360" w:lineRule="auto"/>
        <w:jc w:val="center"/>
        <w:rPr>
          <w:rFonts w:hint="eastAsia" w:ascii="方正仿宋_GBK" w:hAnsi="方正仿宋_GBK" w:eastAsia="方正仿宋_GBK" w:cs="方正仿宋_GBK"/>
          <w:bCs/>
          <w:color w:val="auto"/>
          <w:sz w:val="36"/>
          <w:szCs w:val="36"/>
        </w:rPr>
      </w:pPr>
      <w:bookmarkStart w:id="97" w:name="_Toc1062779113"/>
      <w:bookmarkStart w:id="98" w:name="_Toc29299"/>
      <w:bookmarkStart w:id="99" w:name="_Toc837539241"/>
      <w:bookmarkStart w:id="100" w:name="_Toc104383962"/>
      <w:r>
        <w:rPr>
          <w:rFonts w:hint="eastAsia" w:ascii="方正仿宋_GBK" w:hAnsi="方正仿宋_GBK" w:eastAsia="方正仿宋_GBK" w:cs="方正仿宋_GBK"/>
          <w:bCs/>
          <w:color w:val="auto"/>
          <w:sz w:val="36"/>
          <w:szCs w:val="36"/>
        </w:rPr>
        <w:t>第</w:t>
      </w:r>
      <w:r>
        <w:rPr>
          <w:rFonts w:hint="eastAsia" w:ascii="方正仿宋_GBK" w:hAnsi="方正仿宋_GBK" w:eastAsia="方正仿宋_GBK" w:cs="方正仿宋_GBK"/>
          <w:bCs/>
          <w:color w:val="auto"/>
          <w:sz w:val="36"/>
          <w:szCs w:val="36"/>
          <w:lang w:eastAsia="zh-CN"/>
        </w:rPr>
        <w:t>五</w:t>
      </w:r>
      <w:r>
        <w:rPr>
          <w:rFonts w:hint="eastAsia" w:ascii="方正仿宋_GBK" w:hAnsi="方正仿宋_GBK" w:eastAsia="方正仿宋_GBK" w:cs="方正仿宋_GBK"/>
          <w:bCs/>
          <w:color w:val="auto"/>
          <w:sz w:val="36"/>
          <w:szCs w:val="36"/>
        </w:rPr>
        <w:t>部分  响应文件格式</w:t>
      </w:r>
      <w:bookmarkEnd w:id="97"/>
      <w:bookmarkEnd w:id="98"/>
      <w:bookmarkEnd w:id="99"/>
      <w:bookmarkEnd w:id="100"/>
    </w:p>
    <w:p w14:paraId="3E7FDD22">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val="en-US" w:eastAsia="zh-CN"/>
        </w:rPr>
        <w:t>供应商</w:t>
      </w:r>
      <w:r>
        <w:rPr>
          <w:rFonts w:hint="eastAsia" w:asciiTheme="minorEastAsia" w:hAnsiTheme="minorEastAsia" w:eastAsiaTheme="minorEastAsia" w:cstheme="minorEastAsia"/>
          <w:color w:val="auto"/>
          <w:szCs w:val="24"/>
        </w:rPr>
        <w:t>应向采购人、采购代理机构提供包括以下内容的《响应文件》：</w:t>
      </w:r>
    </w:p>
    <w:p w14:paraId="106336C8">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1.磋商函；</w:t>
      </w:r>
    </w:p>
    <w:p w14:paraId="1590042D">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2.法定代表人授权书（法定代表人不能参加磋商时出具）；</w:t>
      </w:r>
    </w:p>
    <w:p w14:paraId="7E7DCFCA">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3.报价表；</w:t>
      </w:r>
    </w:p>
    <w:p w14:paraId="23D84BB0">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4.企业或机构相关证件，例如：营业执照</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单位资质、人员资格证书及注册信息</w:t>
      </w:r>
      <w:r>
        <w:rPr>
          <w:rFonts w:hint="eastAsia" w:asciiTheme="minorEastAsia" w:hAnsiTheme="minorEastAsia" w:eastAsiaTheme="minorEastAsia" w:cstheme="minorEastAsia"/>
          <w:color w:val="auto"/>
          <w:szCs w:val="24"/>
        </w:rPr>
        <w:t>等相关文件（复印件，须加盖供应商公章）；</w:t>
      </w:r>
    </w:p>
    <w:p w14:paraId="112A365D">
      <w:pPr>
        <w:spacing w:line="360" w:lineRule="auto"/>
        <w:rPr>
          <w:rFonts w:hint="default" w:ascii="Times New Roman" w:hAnsi="Times New Roman" w:eastAsia="宋体" w:cs="Times New Roman"/>
          <w:color w:val="auto"/>
          <w:kern w:val="0"/>
          <w:szCs w:val="24"/>
          <w:lang w:val="zh-CN"/>
        </w:rPr>
      </w:pPr>
      <w:r>
        <w:rPr>
          <w:rFonts w:hint="default" w:ascii="Times New Roman" w:hAnsi="Times New Roman" w:eastAsia="宋体" w:cs="Times New Roman"/>
          <w:color w:val="auto"/>
          <w:szCs w:val="24"/>
        </w:rPr>
        <w:t>5.</w:t>
      </w:r>
      <w:r>
        <w:rPr>
          <w:rFonts w:hint="eastAsia" w:ascii="Times New Roman" w:hAnsi="Times New Roman" w:eastAsia="宋体" w:cs="Times New Roman"/>
          <w:color w:val="auto"/>
          <w:kern w:val="0"/>
          <w:szCs w:val="24"/>
          <w:lang w:val="en-US" w:eastAsia="zh-CN"/>
        </w:rPr>
        <w:t>健全的财务会计制度</w:t>
      </w:r>
      <w:r>
        <w:rPr>
          <w:rFonts w:hint="eastAsia" w:ascii="Times New Roman" w:hAnsi="Times New Roman" w:eastAsia="宋体" w:cs="Times New Roman"/>
          <w:color w:val="auto"/>
          <w:kern w:val="0"/>
          <w:szCs w:val="24"/>
          <w:lang w:val="zh-CN"/>
        </w:rPr>
        <w:t>：</w:t>
      </w:r>
      <w:r>
        <w:rPr>
          <w:rFonts w:hint="eastAsia" w:ascii="Times New Roman" w:hAnsi="Times New Roman" w:eastAsia="宋体" w:cs="Times New Roman"/>
          <w:color w:val="auto"/>
          <w:kern w:val="0"/>
          <w:szCs w:val="24"/>
          <w:lang w:val="en-US" w:eastAsia="zh-CN"/>
        </w:rPr>
        <w:t>近3年任意年度经审计财务报表或内部财务报表或健全的财务制度均可</w:t>
      </w:r>
      <w:r>
        <w:rPr>
          <w:rFonts w:hint="default" w:ascii="Times New Roman" w:hAnsi="Times New Roman" w:eastAsia="宋体" w:cs="Times New Roman"/>
          <w:color w:val="auto"/>
          <w:kern w:val="0"/>
          <w:szCs w:val="24"/>
          <w:lang w:val="zh-CN"/>
        </w:rPr>
        <w:t>。</w:t>
      </w:r>
    </w:p>
    <w:p w14:paraId="163CF4D1">
      <w:pPr>
        <w:spacing w:line="360" w:lineRule="auto"/>
        <w:rPr>
          <w:rFonts w:hint="eastAsia" w:ascii="Times New Roman" w:hAnsi="Times New Roman" w:eastAsia="宋体" w:cs="Times New Roman"/>
          <w:color w:val="auto"/>
          <w:szCs w:val="24"/>
          <w:lang w:eastAsia="zh-CN"/>
        </w:rPr>
      </w:pPr>
      <w:r>
        <w:rPr>
          <w:rFonts w:hint="default" w:ascii="Times New Roman" w:hAnsi="Times New Roman" w:eastAsia="宋体" w:cs="Times New Roman"/>
          <w:color w:val="auto"/>
          <w:szCs w:val="24"/>
        </w:rPr>
        <w:t>6.有依法缴纳社会保障资金的良好记录</w:t>
      </w:r>
      <w:r>
        <w:rPr>
          <w:rFonts w:hint="eastAsia"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rPr>
        <w:t>供应商须提供参加本次政府采购活动最近半年内任意一个月的缴纳社会保障资金的有效票据凭证（须加盖供应商公章）或供应商的承诺书（格式自制）</w:t>
      </w:r>
      <w:r>
        <w:rPr>
          <w:rFonts w:hint="eastAsia" w:ascii="Times New Roman" w:hAnsi="Times New Roman" w:eastAsia="宋体" w:cs="Times New Roman"/>
          <w:color w:val="auto"/>
          <w:szCs w:val="24"/>
          <w:lang w:eastAsia="zh-CN"/>
        </w:rPr>
        <w:t>；</w:t>
      </w:r>
    </w:p>
    <w:p w14:paraId="415DF478">
      <w:pPr>
        <w:spacing w:line="360" w:lineRule="auto"/>
        <w:rPr>
          <w:rFonts w:hint="eastAsia" w:eastAsia="宋体" w:asciiTheme="minorEastAsia" w:hAnsiTheme="minorEastAsia" w:cstheme="minorEastAsia"/>
          <w:color w:val="auto"/>
          <w:szCs w:val="24"/>
          <w:lang w:eastAsia="zh-CN"/>
        </w:rPr>
      </w:pPr>
      <w:r>
        <w:rPr>
          <w:rFonts w:hint="default" w:ascii="Times New Roman" w:hAnsi="Times New Roman" w:eastAsia="宋体" w:cs="Times New Roman"/>
          <w:color w:val="auto"/>
          <w:szCs w:val="24"/>
        </w:rPr>
        <w:t>7.有依法缴纳税收的良好记录</w:t>
      </w:r>
      <w:r>
        <w:rPr>
          <w:rFonts w:hint="eastAsia"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rPr>
        <w:t>供应商须提供参加本次政府采购活动最近半年内任意一个月的纳税有效凭据（须加盖供应商公章）或供应商的承诺书（格式自制）</w:t>
      </w:r>
      <w:r>
        <w:rPr>
          <w:rFonts w:hint="eastAsia" w:ascii="Times New Roman" w:hAnsi="Times New Roman" w:eastAsia="宋体" w:cs="Times New Roman"/>
          <w:color w:val="auto"/>
          <w:szCs w:val="24"/>
          <w:lang w:eastAsia="zh-CN"/>
        </w:rPr>
        <w:t>；</w:t>
      </w:r>
    </w:p>
    <w:p w14:paraId="12B1466D">
      <w:pPr>
        <w:spacing w:line="360" w:lineRule="auto"/>
        <w:rPr>
          <w:rFonts w:hint="eastAsia" w:asciiTheme="minorEastAsia" w:hAnsiTheme="minorEastAsia" w:eastAsiaTheme="minorEastAsia" w:cstheme="minorEastAsia"/>
          <w:color w:val="auto"/>
          <w:szCs w:val="24"/>
          <w:lang w:eastAsia="zh-CN"/>
        </w:rPr>
      </w:pPr>
      <w:r>
        <w:rPr>
          <w:rFonts w:hint="eastAsia" w:asciiTheme="minorEastAsia" w:hAnsiTheme="minorEastAsia" w:eastAsiaTheme="minorEastAsia" w:cstheme="minorEastAsia"/>
          <w:color w:val="auto"/>
          <w:szCs w:val="24"/>
        </w:rPr>
        <w:t>8.参加本次政府采购活动前三年内，在经营活动中没有重大违法记录的声明（供应商须提供此声明，法定代表人本人或被授权人签字或签章并加盖单位公章。按《磋商文件》格式填写）</w:t>
      </w:r>
      <w:r>
        <w:rPr>
          <w:rFonts w:hint="eastAsia" w:asciiTheme="minorEastAsia" w:hAnsiTheme="minorEastAsia" w:cstheme="minorEastAsia"/>
          <w:color w:val="auto"/>
          <w:szCs w:val="24"/>
          <w:lang w:eastAsia="zh-CN"/>
        </w:rPr>
        <w:t>；</w:t>
      </w:r>
    </w:p>
    <w:p w14:paraId="6E0229AD">
      <w:pPr>
        <w:spacing w:line="360" w:lineRule="auto"/>
        <w:rPr>
          <w:rFonts w:hint="eastAsia" w:asciiTheme="minorEastAsia" w:hAnsiTheme="minorEastAsia" w:eastAsiaTheme="minorEastAsia" w:cstheme="minorEastAsia"/>
          <w:color w:val="auto"/>
          <w:szCs w:val="24"/>
          <w:lang w:eastAsia="zh-CN"/>
        </w:rPr>
      </w:pPr>
      <w:r>
        <w:rPr>
          <w:rFonts w:hint="eastAsia" w:asciiTheme="minorEastAsia" w:hAnsiTheme="minorEastAsia" w:eastAsiaTheme="minorEastAsia" w:cstheme="minorEastAsia"/>
          <w:color w:val="auto"/>
          <w:szCs w:val="24"/>
        </w:rPr>
        <w:t>9.供应商近三年（20</w:t>
      </w:r>
      <w:r>
        <w:rPr>
          <w:rFonts w:hint="eastAsia" w:asciiTheme="minorEastAsia" w:hAnsiTheme="minorEastAsia" w:eastAsiaTheme="minorEastAsia" w:cstheme="minorEastAsia"/>
          <w:color w:val="auto"/>
          <w:szCs w:val="24"/>
          <w:lang w:val="en-US" w:eastAsia="zh-CN"/>
        </w:rPr>
        <w:t>21</w:t>
      </w:r>
      <w:r>
        <w:rPr>
          <w:rFonts w:hint="eastAsia" w:asciiTheme="minorEastAsia" w:hAnsiTheme="minorEastAsia" w:eastAsiaTheme="minorEastAsia" w:cstheme="minorEastAsia"/>
          <w:color w:val="auto"/>
          <w:szCs w:val="24"/>
        </w:rPr>
        <w:t>年</w:t>
      </w:r>
      <w:r>
        <w:rPr>
          <w:rFonts w:hint="eastAsia" w:asciiTheme="minorEastAsia" w:hAnsiTheme="minorEastAsia" w:cstheme="minorEastAsia"/>
          <w:color w:val="auto"/>
          <w:szCs w:val="24"/>
          <w:lang w:val="en-US" w:eastAsia="zh-CN"/>
        </w:rPr>
        <w:t>1</w:t>
      </w:r>
      <w:r>
        <w:rPr>
          <w:rFonts w:hint="eastAsia" w:asciiTheme="minorEastAsia" w:hAnsiTheme="minorEastAsia" w:eastAsiaTheme="minorEastAsia" w:cstheme="minorEastAsia"/>
          <w:color w:val="auto"/>
          <w:szCs w:val="24"/>
        </w:rPr>
        <w:t>月1日起至响应文件递交截止之日前3日内）未被“信用中国”网站及“中国政府采购网”网站列入失信被执行人、税收违法黑名单、政府采购严重违法失信行为记录名单</w:t>
      </w:r>
      <w:r>
        <w:rPr>
          <w:rFonts w:hint="eastAsia" w:asciiTheme="minorEastAsia" w:hAnsiTheme="minorEastAsia" w:cstheme="minorEastAsia"/>
          <w:color w:val="auto"/>
          <w:szCs w:val="24"/>
          <w:lang w:eastAsia="zh-CN"/>
        </w:rPr>
        <w:t>；</w:t>
      </w:r>
    </w:p>
    <w:p w14:paraId="3F0A2B3B">
      <w:pPr>
        <w:spacing w:line="360" w:lineRule="auto"/>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10.</w:t>
      </w:r>
      <w:r>
        <w:rPr>
          <w:rFonts w:hint="default" w:asciiTheme="minorEastAsia" w:hAnsiTheme="minorEastAsia" w:eastAsiaTheme="minorEastAsia" w:cstheme="minorEastAsia"/>
          <w:color w:val="auto"/>
          <w:szCs w:val="24"/>
        </w:rPr>
        <w:t>商务条款偏离表</w:t>
      </w:r>
      <w:r>
        <w:rPr>
          <w:rFonts w:hint="eastAsia" w:asciiTheme="minorEastAsia" w:hAnsiTheme="minorEastAsia" w:cstheme="minorEastAsia"/>
          <w:color w:val="auto"/>
          <w:szCs w:val="24"/>
          <w:lang w:eastAsia="zh-CN"/>
        </w:rPr>
        <w:t>；</w:t>
      </w:r>
    </w:p>
    <w:p w14:paraId="11C08792">
      <w:pPr>
        <w:spacing w:line="360" w:lineRule="auto"/>
        <w:rPr>
          <w:rFonts w:hint="default" w:asciiTheme="minorEastAsia" w:hAnsiTheme="minorEastAsia" w:eastAsiaTheme="minorEastAsia" w:cstheme="minorEastAsia"/>
          <w:color w:val="auto"/>
          <w:szCs w:val="24"/>
          <w:lang w:val="en-US"/>
        </w:rPr>
      </w:pPr>
      <w:r>
        <w:rPr>
          <w:rFonts w:hint="eastAsia" w:asciiTheme="minorEastAsia" w:hAnsiTheme="minorEastAsia" w:eastAsiaTheme="minorEastAsia" w:cstheme="minorEastAsia"/>
          <w:color w:val="auto"/>
          <w:szCs w:val="24"/>
        </w:rPr>
        <w:t>1</w:t>
      </w:r>
      <w:r>
        <w:rPr>
          <w:rFonts w:hint="eastAsia" w:asciiTheme="minorEastAsia" w:hAnsiTheme="minorEastAsia" w:cstheme="minorEastAsia"/>
          <w:color w:val="auto"/>
          <w:szCs w:val="24"/>
          <w:lang w:val="en-US" w:eastAsia="zh-CN"/>
        </w:rPr>
        <w:t>1</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rPr>
        <w:t>服务方案</w:t>
      </w:r>
      <w:r>
        <w:rPr>
          <w:rFonts w:hint="eastAsia" w:asciiTheme="minorEastAsia" w:hAnsiTheme="minorEastAsia" w:eastAsiaTheme="minorEastAsia" w:cstheme="minorEastAsia"/>
          <w:color w:val="auto"/>
          <w:lang w:val="en-US" w:eastAsia="zh-CN"/>
        </w:rPr>
        <w:t>和服务质量保障方案</w:t>
      </w:r>
      <w:r>
        <w:rPr>
          <w:rFonts w:hint="eastAsia" w:asciiTheme="minorEastAsia" w:hAnsiTheme="minorEastAsia" w:cstheme="minorEastAsia"/>
          <w:color w:val="auto"/>
          <w:lang w:val="en-US" w:eastAsia="zh-CN"/>
        </w:rPr>
        <w:t>；</w:t>
      </w:r>
    </w:p>
    <w:p w14:paraId="2398D433">
      <w:pPr>
        <w:spacing w:line="360" w:lineRule="auto"/>
        <w:rPr>
          <w:rFonts w:hint="eastAsia" w:asciiTheme="minorEastAsia" w:hAnsiTheme="minorEastAsia" w:eastAsiaTheme="minorEastAsia" w:cstheme="minorEastAsia"/>
          <w:color w:val="auto"/>
          <w:szCs w:val="24"/>
          <w:lang w:eastAsia="zh-CN"/>
        </w:rPr>
      </w:pPr>
      <w:r>
        <w:rPr>
          <w:rFonts w:hint="eastAsia" w:asciiTheme="minorEastAsia" w:hAnsiTheme="minorEastAsia" w:eastAsiaTheme="minorEastAsia" w:cstheme="minorEastAsia"/>
          <w:color w:val="auto"/>
          <w:szCs w:val="24"/>
        </w:rPr>
        <w:t>1</w:t>
      </w:r>
      <w:r>
        <w:rPr>
          <w:rFonts w:hint="eastAsia" w:asciiTheme="minorEastAsia" w:hAnsiTheme="minorEastAsia" w:cstheme="minorEastAsia"/>
          <w:color w:val="auto"/>
          <w:szCs w:val="24"/>
          <w:lang w:val="en-US" w:eastAsia="zh-CN"/>
        </w:rPr>
        <w:t>2</w:t>
      </w:r>
      <w:r>
        <w:rPr>
          <w:rFonts w:hint="eastAsia" w:asciiTheme="minorEastAsia" w:hAnsiTheme="minorEastAsia" w:eastAsiaTheme="minorEastAsia" w:cstheme="minorEastAsia"/>
          <w:color w:val="auto"/>
          <w:szCs w:val="24"/>
        </w:rPr>
        <w:t>.磋商文件要求提供的其他资料；</w:t>
      </w:r>
      <w:r>
        <w:rPr>
          <w:rFonts w:hint="eastAsia" w:asciiTheme="minorEastAsia" w:hAnsiTheme="minorEastAsia" w:eastAsiaTheme="minorEastAsia" w:cstheme="minorEastAsia"/>
          <w:color w:val="auto"/>
          <w:szCs w:val="24"/>
          <w:u w:val="thick"/>
        </w:rPr>
        <w:t>凡是在评审因素中要求考察的内容，供应商均须有响应文件中提供详细的材料证明</w:t>
      </w:r>
      <w:r>
        <w:rPr>
          <w:rFonts w:hint="eastAsia" w:asciiTheme="minorEastAsia" w:hAnsiTheme="minorEastAsia" w:cstheme="minorEastAsia"/>
          <w:color w:val="auto"/>
          <w:szCs w:val="24"/>
          <w:lang w:eastAsia="zh-CN"/>
        </w:rPr>
        <w:t>。</w:t>
      </w:r>
    </w:p>
    <w:p w14:paraId="26C08845">
      <w:pPr>
        <w:spacing w:line="360" w:lineRule="auto"/>
        <w:jc w:val="left"/>
        <w:rPr>
          <w:rFonts w:hint="eastAsia" w:asciiTheme="minorEastAsia" w:hAnsiTheme="minorEastAsia" w:eastAsiaTheme="minorEastAsia" w:cstheme="minorEastAsia"/>
          <w:color w:val="auto"/>
          <w:szCs w:val="24"/>
        </w:rPr>
      </w:pPr>
      <w:bookmarkStart w:id="101" w:name="_Toc404244921"/>
      <w:bookmarkStart w:id="102" w:name="_Toc307662340"/>
      <w:r>
        <w:rPr>
          <w:rFonts w:hint="eastAsia" w:ascii="方正仿宋_GBK" w:hAnsi="方正仿宋_GBK" w:eastAsia="方正仿宋_GBK" w:cs="方正仿宋_GBK"/>
          <w:color w:val="auto"/>
          <w:szCs w:val="24"/>
        </w:rPr>
        <w:br w:type="page"/>
      </w:r>
      <w:r>
        <w:rPr>
          <w:rFonts w:hint="eastAsia" w:asciiTheme="minorEastAsia" w:hAnsiTheme="minorEastAsia" w:eastAsiaTheme="minorEastAsia" w:cstheme="minorEastAsia"/>
          <w:color w:val="auto"/>
          <w:szCs w:val="24"/>
        </w:rPr>
        <w:t xml:space="preserve">附件1：                         </w:t>
      </w:r>
      <w:r>
        <w:rPr>
          <w:rFonts w:hint="eastAsia" w:asciiTheme="minorEastAsia" w:hAnsiTheme="minorEastAsia" w:eastAsiaTheme="minorEastAsia" w:cstheme="minorEastAsia"/>
          <w:b/>
          <w:color w:val="auto"/>
          <w:sz w:val="32"/>
          <w:szCs w:val="32"/>
        </w:rPr>
        <w:t>磋  商  函</w:t>
      </w:r>
    </w:p>
    <w:p w14:paraId="7C4DA0DD">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u w:val="single"/>
        </w:rPr>
        <w:t>（采购人名称）</w:t>
      </w:r>
      <w:r>
        <w:rPr>
          <w:rFonts w:hint="eastAsia" w:asciiTheme="minorEastAsia" w:hAnsiTheme="minorEastAsia" w:eastAsiaTheme="minorEastAsia" w:cstheme="minorEastAsia"/>
          <w:color w:val="auto"/>
          <w:szCs w:val="24"/>
        </w:rPr>
        <w:t>：</w:t>
      </w:r>
    </w:p>
    <w:p w14:paraId="7CE77AB6">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____________________（供应商全称）授权___________（授权代表姓名）____________（职务、职称）为全权代表，参加贵方组织的“</w:t>
      </w:r>
      <w:r>
        <w:rPr>
          <w:rFonts w:hint="eastAsia" w:asciiTheme="minorEastAsia" w:hAnsiTheme="minorEastAsia" w:cstheme="minorEastAsia"/>
          <w:color w:val="auto"/>
          <w:szCs w:val="24"/>
          <w:lang w:eastAsia="zh-CN"/>
        </w:rPr>
        <w:t>达州市水土保持监测站2025年度运行技术服务</w:t>
      </w:r>
      <w:r>
        <w:rPr>
          <w:rFonts w:hint="eastAsia" w:asciiTheme="minorEastAsia" w:hAnsiTheme="minorEastAsia" w:eastAsiaTheme="minorEastAsia" w:cstheme="minorEastAsia"/>
          <w:color w:val="auto"/>
          <w:szCs w:val="24"/>
        </w:rPr>
        <w:t>”竞争性磋商的有关活动，并对此项目进行响应。</w:t>
      </w:r>
    </w:p>
    <w:p w14:paraId="068CB1D6">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为此：</w:t>
      </w:r>
    </w:p>
    <w:p w14:paraId="573631D9">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一、我方同意在本项目磋商文件中规定的内容在磋商之日起90天内遵守本响应文件中的承诺，且在此期限期满之前均具有约束力。我方同意并遵守本磋商文件“供应商须知”中关于有效期的规定。</w:t>
      </w:r>
    </w:p>
    <w:p w14:paraId="4626DF31">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 xml:space="preserve">二、我方承诺具备《中华人民共和国政府采购法》中规定的参加政府采购活动的供应商应当具备的条件，并提供相应的证明材料： </w:t>
      </w:r>
    </w:p>
    <w:p w14:paraId="2EB3042A">
      <w:pPr>
        <w:spacing w:line="360" w:lineRule="auto"/>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 w:val="21"/>
          <w:szCs w:val="24"/>
        </w:rPr>
        <w:t>1.</w:t>
      </w:r>
      <w:r>
        <w:rPr>
          <w:rFonts w:hint="eastAsia" w:asciiTheme="minorEastAsia" w:hAnsiTheme="minorEastAsia" w:eastAsiaTheme="minorEastAsia" w:cstheme="minorEastAsia"/>
          <w:color w:val="auto"/>
          <w:szCs w:val="24"/>
          <w:lang w:val="en-US" w:eastAsia="zh-CN"/>
        </w:rPr>
        <w:t>符合《中华人民共和国政府采购法》第二十二条之规定。</w:t>
      </w:r>
    </w:p>
    <w:p w14:paraId="2ADE34B7">
      <w:pPr>
        <w:spacing w:line="360" w:lineRule="auto"/>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2.应具有独立承担民事责任的能力。</w:t>
      </w:r>
    </w:p>
    <w:p w14:paraId="46260CA9">
      <w:pPr>
        <w:spacing w:line="360" w:lineRule="auto"/>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3.应具有良好的商业信誉和健全的财务会计制度。</w:t>
      </w:r>
    </w:p>
    <w:p w14:paraId="0901B7C2">
      <w:pPr>
        <w:spacing w:line="360" w:lineRule="auto"/>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4.应</w:t>
      </w:r>
      <w:r>
        <w:rPr>
          <w:rFonts w:hint="eastAsia" w:asciiTheme="minorEastAsia" w:hAnsiTheme="minorEastAsia" w:eastAsiaTheme="minorEastAsia" w:cstheme="minorEastAsia"/>
          <w:color w:val="auto"/>
          <w:szCs w:val="24"/>
          <w:lang w:val="zh-CN" w:eastAsia="zh-CN"/>
        </w:rPr>
        <w:t>具有履行合同所必须的专业技术能力</w:t>
      </w:r>
      <w:r>
        <w:rPr>
          <w:rFonts w:hint="eastAsia" w:asciiTheme="minorEastAsia" w:hAnsiTheme="minorEastAsia" w:eastAsiaTheme="minorEastAsia" w:cstheme="minorEastAsia"/>
          <w:color w:val="auto"/>
          <w:szCs w:val="24"/>
          <w:lang w:val="en-US" w:eastAsia="zh-CN"/>
        </w:rPr>
        <w:t>。</w:t>
      </w:r>
    </w:p>
    <w:p w14:paraId="1700F8C2">
      <w:pPr>
        <w:spacing w:line="360" w:lineRule="auto"/>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5.</w:t>
      </w:r>
      <w:r>
        <w:rPr>
          <w:rFonts w:hint="eastAsia" w:asciiTheme="minorEastAsia" w:hAnsiTheme="minorEastAsia" w:eastAsiaTheme="minorEastAsia" w:cstheme="minorEastAsia"/>
          <w:color w:val="auto"/>
          <w:szCs w:val="24"/>
          <w:lang w:val="zh-CN" w:eastAsia="zh-CN"/>
        </w:rPr>
        <w:t>有依法缴纳税收和社会保障金的良好记录</w:t>
      </w:r>
      <w:r>
        <w:rPr>
          <w:rFonts w:hint="eastAsia" w:asciiTheme="minorEastAsia" w:hAnsiTheme="minorEastAsia" w:eastAsiaTheme="minorEastAsia" w:cstheme="minorEastAsia"/>
          <w:color w:val="auto"/>
          <w:szCs w:val="24"/>
          <w:lang w:val="en-US" w:eastAsia="zh-CN"/>
        </w:rPr>
        <w:t>。</w:t>
      </w:r>
    </w:p>
    <w:p w14:paraId="5B5EA23D">
      <w:pPr>
        <w:spacing w:line="360" w:lineRule="auto"/>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6.</w:t>
      </w:r>
      <w:r>
        <w:rPr>
          <w:rFonts w:hint="eastAsia" w:asciiTheme="minorEastAsia" w:hAnsiTheme="minorEastAsia" w:eastAsiaTheme="minorEastAsia" w:cstheme="minorEastAsia"/>
          <w:color w:val="auto"/>
          <w:szCs w:val="24"/>
          <w:lang w:val="zh-CN" w:eastAsia="zh-CN"/>
        </w:rPr>
        <w:t>参加政府采购活动前三年内，在经营活动中没有重大违法记录。</w:t>
      </w:r>
      <w:r>
        <w:rPr>
          <w:rFonts w:hint="eastAsia" w:asciiTheme="minorEastAsia" w:hAnsiTheme="minorEastAsia" w:eastAsiaTheme="minorEastAsia" w:cstheme="minorEastAsia"/>
          <w:color w:val="auto"/>
          <w:szCs w:val="24"/>
          <w:lang w:val="en-US" w:eastAsia="zh-CN"/>
        </w:rPr>
        <w:t xml:space="preserve">   </w:t>
      </w:r>
    </w:p>
    <w:p w14:paraId="12360A07">
      <w:pPr>
        <w:spacing w:line="360" w:lineRule="auto"/>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7法律、行政法规规定的其他条件。</w:t>
      </w:r>
    </w:p>
    <w:p w14:paraId="3EAD2839">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三、我方承诺，与贵方聘请的为此项目提供咨询服务的公司及任何附属机构均无关联，我方不是贵方的附属机构。</w:t>
      </w:r>
    </w:p>
    <w:p w14:paraId="3F7947ED">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四、我方已详细阅读全部磋商文件及全部参考资料和有关附件。我方已经完全理解了磋商文件中的各项内容和各项权利义务的真实含义，并承诺在发生争议时不会以对磋商文件存在误解、不明白的条款为由，对贵司行使任何法律上的抗辩权。</w:t>
      </w:r>
    </w:p>
    <w:p w14:paraId="1E322684">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五、提供磋商文件规定的全部文件，包括响应文件正本1份、响应文件副本2份。</w:t>
      </w:r>
    </w:p>
    <w:p w14:paraId="442434A5">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六、保证忠实地执行双方所签订的合同，并承担合同规定的责任和义务。</w:t>
      </w:r>
    </w:p>
    <w:p w14:paraId="29D9D32D">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七、承诺完全满足和响应磋商文件中的各项商务和服务需求，若有偏差，已在响应文件中显著处予以明确特别说明。</w:t>
      </w:r>
    </w:p>
    <w:p w14:paraId="0B09DF9C">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八、保证遵守磋商文件的规定。</w:t>
      </w:r>
    </w:p>
    <w:p w14:paraId="42027741">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九、我方愿意如实提供任何与本项磋商有关的数据、情况和方案资料。</w:t>
      </w:r>
    </w:p>
    <w:p w14:paraId="6EF52B3D">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十、我方已详细审核全部响应文件，包括响应文件修改书（如有的话）、参考资料及有关附件，确认无误。</w:t>
      </w:r>
    </w:p>
    <w:p w14:paraId="47ED7932">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十一、我方承诺：贵方若需追加采购本项目磋商文件所列相关服务的，在不改变合同其他实质性条款的前提下，按相同或更优惠的优惠幅度保证完成需求所述全部内容。</w:t>
      </w:r>
    </w:p>
    <w:p w14:paraId="3248C420">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十二、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14:paraId="2A38C562">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1.提供虚假材料谋取成交的；</w:t>
      </w:r>
    </w:p>
    <w:p w14:paraId="4E312A9E">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2.采取不正当手段诋毁、排挤其他供应商的；</w:t>
      </w:r>
    </w:p>
    <w:p w14:paraId="4E558BDC">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3.与其他供应商或磋商小组恶意串通的；</w:t>
      </w:r>
    </w:p>
    <w:p w14:paraId="23BA71C0">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4.向磋商小组行贿或提供其他不正当利益的；</w:t>
      </w:r>
    </w:p>
    <w:p w14:paraId="39FF4D57">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5.拒绝有关部门监督检查或提供虚假情况的。</w:t>
      </w:r>
    </w:p>
    <w:p w14:paraId="0D578B85">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十三、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14:paraId="0DC09B9F">
      <w:pPr>
        <w:spacing w:line="360" w:lineRule="auto"/>
        <w:rPr>
          <w:rFonts w:hint="eastAsia" w:asciiTheme="minorEastAsia" w:hAnsiTheme="minorEastAsia" w:eastAsiaTheme="minorEastAsia" w:cstheme="minorEastAsia"/>
          <w:color w:val="auto"/>
          <w:szCs w:val="24"/>
        </w:rPr>
      </w:pPr>
    </w:p>
    <w:p w14:paraId="309F5390">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与本次磋商有关的一切往来通讯请寄：</w:t>
      </w:r>
    </w:p>
    <w:p w14:paraId="3E8AC1BF">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地址：       邮编：     电话：      传真：</w:t>
      </w:r>
    </w:p>
    <w:p w14:paraId="7492001E">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供应商授权代表签字：</w:t>
      </w:r>
    </w:p>
    <w:p w14:paraId="24577A6E">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供应商授权代表联系电话（移动电话）:                      供应商公章</w:t>
      </w:r>
    </w:p>
    <w:p w14:paraId="5077E2E3">
      <w:pPr>
        <w:spacing w:line="360" w:lineRule="auto"/>
        <w:jc w:val="righ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年   月   日</w:t>
      </w:r>
      <w:bookmarkEnd w:id="101"/>
      <w:bookmarkEnd w:id="102"/>
    </w:p>
    <w:p w14:paraId="3B7302EC">
      <w:pPr>
        <w:spacing w:line="360" w:lineRule="auto"/>
        <w:rPr>
          <w:rFonts w:hint="eastAsia" w:asciiTheme="minorEastAsia" w:hAnsiTheme="minorEastAsia" w:eastAsiaTheme="minorEastAsia" w:cstheme="minorEastAsia"/>
          <w:color w:val="auto"/>
          <w:szCs w:val="24"/>
        </w:rPr>
      </w:pPr>
      <w:r>
        <w:rPr>
          <w:rFonts w:hint="eastAsia" w:ascii="方正仿宋_GBK" w:hAnsi="方正仿宋_GBK" w:eastAsia="方正仿宋_GBK" w:cs="方正仿宋_GBK"/>
          <w:color w:val="auto"/>
          <w:szCs w:val="24"/>
        </w:rPr>
        <w:br w:type="page"/>
      </w:r>
      <w:r>
        <w:rPr>
          <w:rFonts w:hint="eastAsia" w:asciiTheme="minorEastAsia" w:hAnsiTheme="minorEastAsia" w:eastAsiaTheme="minorEastAsia" w:cstheme="minorEastAsia"/>
          <w:color w:val="auto"/>
          <w:szCs w:val="24"/>
        </w:rPr>
        <w:t>附件2：</w:t>
      </w:r>
    </w:p>
    <w:p w14:paraId="52A3A632">
      <w:pPr>
        <w:spacing w:line="36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 w:val="32"/>
          <w:szCs w:val="32"/>
        </w:rPr>
        <w:t>法定代表人授权书（法定代表人不能参加磋商时出具）</w:t>
      </w:r>
    </w:p>
    <w:p w14:paraId="4A3C1BB8">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 xml:space="preserve">    本授权书声明：注册于</w:t>
      </w:r>
      <w:r>
        <w:rPr>
          <w:rFonts w:hint="eastAsia" w:asciiTheme="minorEastAsia" w:hAnsiTheme="minorEastAsia" w:eastAsiaTheme="minorEastAsia" w:cstheme="minorEastAsia"/>
          <w:color w:val="auto"/>
          <w:szCs w:val="24"/>
          <w:u w:val="single"/>
        </w:rPr>
        <w:t>（国家或地区的名称）</w:t>
      </w:r>
      <w:r>
        <w:rPr>
          <w:rFonts w:hint="eastAsia" w:asciiTheme="minorEastAsia" w:hAnsiTheme="minorEastAsia" w:eastAsiaTheme="minorEastAsia" w:cstheme="minorEastAsia"/>
          <w:color w:val="auto"/>
          <w:szCs w:val="24"/>
        </w:rPr>
        <w:t>的（</w:t>
      </w:r>
      <w:r>
        <w:rPr>
          <w:rFonts w:hint="eastAsia" w:asciiTheme="minorEastAsia" w:hAnsiTheme="minorEastAsia" w:eastAsiaTheme="minorEastAsia" w:cstheme="minorEastAsia"/>
          <w:color w:val="auto"/>
          <w:szCs w:val="24"/>
          <w:u w:val="single"/>
        </w:rPr>
        <w:t>供应商名称</w:t>
      </w:r>
      <w:r>
        <w:rPr>
          <w:rFonts w:hint="eastAsia" w:asciiTheme="minorEastAsia" w:hAnsiTheme="minorEastAsia" w:eastAsiaTheme="minorEastAsia" w:cstheme="minorEastAsia"/>
          <w:color w:val="auto"/>
          <w:szCs w:val="24"/>
        </w:rPr>
        <w:t>）的在下面签字的（</w:t>
      </w:r>
      <w:r>
        <w:rPr>
          <w:rFonts w:hint="eastAsia" w:asciiTheme="minorEastAsia" w:hAnsiTheme="minorEastAsia" w:eastAsiaTheme="minorEastAsia" w:cstheme="minorEastAsia"/>
          <w:color w:val="auto"/>
          <w:szCs w:val="24"/>
          <w:u w:val="single"/>
        </w:rPr>
        <w:t>法定人代表姓名、职务</w:t>
      </w:r>
      <w:r>
        <w:rPr>
          <w:rFonts w:hint="eastAsia" w:asciiTheme="minorEastAsia" w:hAnsiTheme="minorEastAsia" w:eastAsiaTheme="minorEastAsia" w:cstheme="minorEastAsia"/>
          <w:color w:val="auto"/>
          <w:szCs w:val="24"/>
        </w:rPr>
        <w:t>）代表本公司授权（</w:t>
      </w:r>
      <w:r>
        <w:rPr>
          <w:rFonts w:hint="eastAsia" w:asciiTheme="minorEastAsia" w:hAnsiTheme="minorEastAsia" w:eastAsiaTheme="minorEastAsia" w:cstheme="minorEastAsia"/>
          <w:color w:val="auto"/>
          <w:szCs w:val="24"/>
          <w:u w:val="single"/>
        </w:rPr>
        <w:t>供应商名称</w:t>
      </w:r>
      <w:r>
        <w:rPr>
          <w:rFonts w:hint="eastAsia" w:asciiTheme="minorEastAsia" w:hAnsiTheme="minorEastAsia" w:eastAsiaTheme="minorEastAsia" w:cstheme="minorEastAsia"/>
          <w:color w:val="auto"/>
          <w:szCs w:val="24"/>
        </w:rPr>
        <w:t>）的在下面签字的（</w:t>
      </w:r>
      <w:r>
        <w:rPr>
          <w:rFonts w:hint="eastAsia" w:asciiTheme="minorEastAsia" w:hAnsiTheme="minorEastAsia" w:eastAsiaTheme="minorEastAsia" w:cstheme="minorEastAsia"/>
          <w:color w:val="auto"/>
          <w:szCs w:val="24"/>
          <w:u w:val="single"/>
        </w:rPr>
        <w:t>被授权人的姓名、职务</w:t>
      </w:r>
      <w:r>
        <w:rPr>
          <w:rFonts w:hint="eastAsia" w:asciiTheme="minorEastAsia" w:hAnsiTheme="minorEastAsia" w:eastAsiaTheme="minorEastAsia" w:cstheme="minorEastAsia"/>
          <w:color w:val="auto"/>
          <w:szCs w:val="24"/>
        </w:rPr>
        <w:t>）为本公司的合法代理人，就“</w:t>
      </w:r>
      <w:r>
        <w:rPr>
          <w:rFonts w:hint="eastAsia" w:asciiTheme="minorEastAsia" w:hAnsiTheme="minorEastAsia" w:cstheme="minorEastAsia"/>
          <w:color w:val="auto"/>
          <w:szCs w:val="24"/>
          <w:lang w:eastAsia="zh-CN"/>
        </w:rPr>
        <w:t>达州市水土保持监测站2025年度运行技术服务</w:t>
      </w:r>
      <w:r>
        <w:rPr>
          <w:rFonts w:hint="eastAsia" w:asciiTheme="minorEastAsia" w:hAnsiTheme="minorEastAsia" w:eastAsiaTheme="minorEastAsia" w:cstheme="minorEastAsia"/>
          <w:color w:val="auto"/>
          <w:szCs w:val="24"/>
        </w:rPr>
        <w:t>”竞争性磋商活动，以本公司名义处理一切与之有关的事务。</w:t>
      </w:r>
      <w:r>
        <w:rPr>
          <w:rFonts w:hint="eastAsia" w:asciiTheme="minorEastAsia" w:hAnsiTheme="minorEastAsia" w:eastAsiaTheme="minorEastAsia" w:cstheme="minorEastAsia"/>
          <w:color w:val="auto"/>
          <w:szCs w:val="24"/>
        </w:rPr>
        <w:cr/>
      </w:r>
      <w:r>
        <w:rPr>
          <w:rFonts w:hint="eastAsia" w:asciiTheme="minorEastAsia" w:hAnsiTheme="minorEastAsia" w:eastAsiaTheme="minorEastAsia" w:cstheme="minorEastAsia"/>
          <w:color w:val="auto"/>
          <w:szCs w:val="24"/>
        </w:rPr>
        <w:t>　　本授权书于__________年_____月______日签字生效，特此声明。</w:t>
      </w:r>
      <w:r>
        <w:rPr>
          <w:rFonts w:hint="eastAsia" w:asciiTheme="minorEastAsia" w:hAnsiTheme="minorEastAsia" w:eastAsiaTheme="minorEastAsia" w:cstheme="minorEastAsia"/>
          <w:color w:val="auto"/>
          <w:szCs w:val="24"/>
        </w:rPr>
        <w:cr/>
      </w:r>
      <w:r>
        <w:rPr>
          <w:rFonts w:hint="eastAsia" w:asciiTheme="minorEastAsia" w:hAnsiTheme="minorEastAsia" w:eastAsiaTheme="minorEastAsia" w:cstheme="minorEastAsia"/>
          <w:color w:val="auto"/>
          <w:szCs w:val="24"/>
        </w:rPr>
        <w:t>法定代表人签字(或盖章)_____________________</w:t>
      </w:r>
    </w:p>
    <w:p w14:paraId="69168424">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被授权人签字_______________________________</w:t>
      </w:r>
    </w:p>
    <w:p w14:paraId="30023554">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供应商盖章：</w:t>
      </w:r>
    </w:p>
    <w:p w14:paraId="79C55A94">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附：</w:t>
      </w:r>
    </w:p>
    <w:p w14:paraId="284959B5">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被授权人姓名：</w:t>
      </w:r>
    </w:p>
    <w:p w14:paraId="1279E5A0">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职　　　　务：</w:t>
      </w:r>
    </w:p>
    <w:p w14:paraId="3540F5A6">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详细通讯地址：</w:t>
      </w:r>
    </w:p>
    <w:p w14:paraId="7D1C9970">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邮 政  编 码：</w:t>
      </w:r>
    </w:p>
    <w:p w14:paraId="4D0240F6">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传　　　　真：</w:t>
      </w:r>
    </w:p>
    <w:p w14:paraId="72E40E44">
      <w:pPr>
        <w:spacing w:line="360" w:lineRule="auto"/>
        <w:rPr>
          <w:rFonts w:hint="eastAsia" w:ascii="方正仿宋_GBK" w:hAnsi="方正仿宋_GBK" w:eastAsia="方正仿宋_GBK" w:cs="方正仿宋_GBK"/>
          <w:color w:val="auto"/>
          <w:szCs w:val="24"/>
        </w:rPr>
        <w:sectPr>
          <w:footerReference r:id="rId5" w:type="default"/>
          <w:pgSz w:w="11907" w:h="16840"/>
          <w:pgMar w:top="1304" w:right="1418" w:bottom="1247" w:left="1418" w:header="851" w:footer="992" w:gutter="0"/>
          <w:pgNumType w:fmt="decimal"/>
          <w:cols w:space="720" w:num="1"/>
        </w:sectPr>
      </w:pPr>
      <w:r>
        <w:rPr>
          <w:rFonts w:hint="eastAsia" w:asciiTheme="minorEastAsia" w:hAnsiTheme="minorEastAsia" w:eastAsiaTheme="minorEastAsia" w:cstheme="minorEastAsia"/>
          <w:color w:val="auto"/>
          <w:szCs w:val="24"/>
        </w:rPr>
        <w:t>电　　　　话：</w:t>
      </w:r>
      <w:bookmarkStart w:id="103" w:name="_Toc404244923"/>
      <w:bookmarkStart w:id="104" w:name="_Toc309312996"/>
      <w:bookmarkStart w:id="105" w:name="_Toc307662342"/>
      <w:bookmarkStart w:id="106" w:name="_Toc217446090"/>
      <w:bookmarkStart w:id="107" w:name="_Toc387242490"/>
      <w:bookmarkStart w:id="108" w:name="_Toc262396942"/>
    </w:p>
    <w:p w14:paraId="0250587E">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附件3：报价表</w:t>
      </w:r>
    </w:p>
    <w:p w14:paraId="4C6EA5FF">
      <w:pPr>
        <w:spacing w:line="360" w:lineRule="auto"/>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报 价 表</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第  次）</w:t>
      </w:r>
    </w:p>
    <w:p w14:paraId="12300E0A">
      <w:pPr>
        <w:spacing w:line="360" w:lineRule="auto"/>
        <w:jc w:val="lef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 xml:space="preserve">供应商名称:___________ </w:t>
      </w:r>
      <w:r>
        <w:rPr>
          <w:rFonts w:hint="eastAsia" w:asciiTheme="minorEastAsia" w:hAnsiTheme="minorEastAsia" w:eastAsiaTheme="minorEastAsia" w:cstheme="minorEastAsia"/>
          <w:color w:val="auto"/>
          <w:szCs w:val="24"/>
          <w:lang w:val="en-US" w:eastAsia="zh-CN"/>
        </w:rPr>
        <w:t>项目</w:t>
      </w:r>
      <w:r>
        <w:rPr>
          <w:rFonts w:hint="eastAsia" w:asciiTheme="minorEastAsia" w:hAnsiTheme="minorEastAsia" w:eastAsiaTheme="minorEastAsia" w:cstheme="minorEastAsia"/>
          <w:color w:val="auto"/>
          <w:szCs w:val="24"/>
        </w:rPr>
        <w:t>编号:_______________单位：人民币元</w:t>
      </w:r>
    </w:p>
    <w:tbl>
      <w:tblPr>
        <w:tblStyle w:val="15"/>
        <w:tblW w:w="1451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2"/>
        <w:gridCol w:w="3242"/>
        <w:gridCol w:w="1949"/>
        <w:gridCol w:w="1981"/>
        <w:gridCol w:w="2521"/>
      </w:tblGrid>
      <w:tr w14:paraId="70182C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4822" w:type="dxa"/>
            <w:vAlign w:val="center"/>
          </w:tcPr>
          <w:p w14:paraId="6EF0F3DE">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项目名称</w:t>
            </w:r>
          </w:p>
        </w:tc>
        <w:tc>
          <w:tcPr>
            <w:tcW w:w="3242" w:type="dxa"/>
            <w:vAlign w:val="center"/>
          </w:tcPr>
          <w:p w14:paraId="1A1A84B6">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服务费</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元</w:t>
            </w:r>
            <w:r>
              <w:rPr>
                <w:rFonts w:hint="eastAsia" w:asciiTheme="minorEastAsia" w:hAnsiTheme="minorEastAsia" w:eastAsiaTheme="minorEastAsia" w:cstheme="minorEastAsia"/>
                <w:color w:val="auto"/>
                <w:sz w:val="28"/>
                <w:szCs w:val="28"/>
              </w:rPr>
              <w:t>）</w:t>
            </w:r>
          </w:p>
        </w:tc>
        <w:tc>
          <w:tcPr>
            <w:tcW w:w="1949" w:type="dxa"/>
            <w:vAlign w:val="center"/>
          </w:tcPr>
          <w:p w14:paraId="004EFD54">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zh-CN"/>
              </w:rPr>
              <w:t>服务期</w:t>
            </w:r>
          </w:p>
        </w:tc>
        <w:tc>
          <w:tcPr>
            <w:tcW w:w="1981" w:type="dxa"/>
            <w:vAlign w:val="center"/>
          </w:tcPr>
          <w:p w14:paraId="7A23F244">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服务地点</w:t>
            </w:r>
          </w:p>
        </w:tc>
        <w:tc>
          <w:tcPr>
            <w:tcW w:w="2521" w:type="dxa"/>
            <w:vAlign w:val="center"/>
          </w:tcPr>
          <w:p w14:paraId="502AF740">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备注</w:t>
            </w:r>
          </w:p>
        </w:tc>
      </w:tr>
      <w:tr w14:paraId="08FA22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4822" w:type="dxa"/>
            <w:vAlign w:val="center"/>
          </w:tcPr>
          <w:p w14:paraId="71B4640D">
            <w:pPr>
              <w:spacing w:line="360" w:lineRule="auto"/>
              <w:jc w:val="center"/>
              <w:rPr>
                <w:rFonts w:hint="eastAsia" w:asciiTheme="minorEastAsia" w:hAnsiTheme="minorEastAsia" w:eastAsiaTheme="minorEastAsia" w:cstheme="minorEastAsia"/>
                <w:color w:val="auto"/>
                <w:szCs w:val="24"/>
              </w:rPr>
            </w:pPr>
            <w:r>
              <w:rPr>
                <w:rFonts w:hint="eastAsia" w:asciiTheme="minorEastAsia" w:hAnsiTheme="minorEastAsia" w:cstheme="minorEastAsia"/>
                <w:color w:val="auto"/>
                <w:szCs w:val="24"/>
                <w:lang w:eastAsia="zh-CN"/>
              </w:rPr>
              <w:t>达州市水土保持监测站2025年度运行技术服务</w:t>
            </w:r>
          </w:p>
        </w:tc>
        <w:tc>
          <w:tcPr>
            <w:tcW w:w="3242" w:type="dxa"/>
            <w:vAlign w:val="center"/>
          </w:tcPr>
          <w:p w14:paraId="73BCBA7D">
            <w:pPr>
              <w:spacing w:line="360" w:lineRule="auto"/>
              <w:jc w:val="center"/>
              <w:rPr>
                <w:rFonts w:hint="eastAsia" w:asciiTheme="minorEastAsia" w:hAnsiTheme="minorEastAsia" w:eastAsiaTheme="minorEastAsia" w:cstheme="minorEastAsia"/>
                <w:color w:val="auto"/>
                <w:szCs w:val="24"/>
              </w:rPr>
            </w:pPr>
          </w:p>
        </w:tc>
        <w:tc>
          <w:tcPr>
            <w:tcW w:w="1949" w:type="dxa"/>
            <w:vAlign w:val="center"/>
          </w:tcPr>
          <w:p w14:paraId="496B7422">
            <w:pPr>
              <w:spacing w:line="360" w:lineRule="auto"/>
              <w:jc w:val="center"/>
              <w:rPr>
                <w:rFonts w:hint="eastAsia" w:asciiTheme="minorEastAsia" w:hAnsiTheme="minorEastAsia" w:eastAsiaTheme="minorEastAsia" w:cstheme="minorEastAsia"/>
                <w:color w:val="auto"/>
                <w:szCs w:val="24"/>
                <w:lang w:val="zh-CN"/>
              </w:rPr>
            </w:pPr>
          </w:p>
        </w:tc>
        <w:tc>
          <w:tcPr>
            <w:tcW w:w="1981" w:type="dxa"/>
            <w:vAlign w:val="center"/>
          </w:tcPr>
          <w:p w14:paraId="3831722A">
            <w:pPr>
              <w:spacing w:line="360" w:lineRule="auto"/>
              <w:jc w:val="center"/>
              <w:rPr>
                <w:rFonts w:hint="eastAsia" w:asciiTheme="minorEastAsia" w:hAnsiTheme="minorEastAsia" w:eastAsiaTheme="minorEastAsia" w:cstheme="minorEastAsia"/>
                <w:color w:val="auto"/>
                <w:szCs w:val="24"/>
                <w:lang w:val="zh-CN"/>
              </w:rPr>
            </w:pPr>
          </w:p>
        </w:tc>
        <w:tc>
          <w:tcPr>
            <w:tcW w:w="2521" w:type="dxa"/>
            <w:vAlign w:val="center"/>
          </w:tcPr>
          <w:p w14:paraId="1D220BBD">
            <w:pPr>
              <w:spacing w:line="360" w:lineRule="auto"/>
              <w:jc w:val="left"/>
              <w:rPr>
                <w:rFonts w:hint="eastAsia" w:asciiTheme="minorEastAsia" w:hAnsiTheme="minorEastAsia" w:eastAsiaTheme="minorEastAsia" w:cstheme="minorEastAsia"/>
                <w:color w:val="auto"/>
                <w:szCs w:val="24"/>
              </w:rPr>
            </w:pPr>
          </w:p>
        </w:tc>
      </w:tr>
    </w:tbl>
    <w:p w14:paraId="47947595">
      <w:pPr>
        <w:spacing w:line="360" w:lineRule="auto"/>
        <w:jc w:val="left"/>
        <w:rPr>
          <w:rFonts w:hint="eastAsia" w:asciiTheme="minorEastAsia" w:hAnsiTheme="minorEastAsia" w:eastAsiaTheme="minorEastAsia" w:cstheme="minorEastAsia"/>
          <w:color w:val="auto"/>
          <w:szCs w:val="24"/>
        </w:rPr>
      </w:pPr>
    </w:p>
    <w:p w14:paraId="62D654E0">
      <w:pPr>
        <w:spacing w:line="360" w:lineRule="auto"/>
        <w:jc w:val="lef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供应商名称（盖章）：____________________________</w:t>
      </w:r>
    </w:p>
    <w:p w14:paraId="0DE123A4">
      <w:pPr>
        <w:spacing w:line="360" w:lineRule="auto"/>
        <w:jc w:val="left"/>
        <w:rPr>
          <w:rFonts w:hint="eastAsia" w:asciiTheme="minorEastAsia" w:hAnsiTheme="minorEastAsia" w:eastAsiaTheme="minorEastAsia" w:cstheme="minorEastAsia"/>
          <w:color w:val="auto"/>
          <w:szCs w:val="24"/>
          <w:u w:val="single"/>
        </w:rPr>
      </w:pPr>
      <w:r>
        <w:rPr>
          <w:rFonts w:hint="eastAsia" w:asciiTheme="minorEastAsia" w:hAnsiTheme="minorEastAsia" w:eastAsiaTheme="minorEastAsia" w:cstheme="minorEastAsia"/>
          <w:color w:val="auto"/>
          <w:szCs w:val="24"/>
        </w:rPr>
        <w:t>供应商授权代表(签章)：</w:t>
      </w:r>
    </w:p>
    <w:p w14:paraId="372F36C6">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注：1、为方便开标唱标，此表应再密封标记一份并于磋商时单独递交。</w:t>
      </w:r>
    </w:p>
    <w:p w14:paraId="177131D2">
      <w:pPr>
        <w:spacing w:line="360" w:lineRule="auto"/>
        <w:rPr>
          <w:rFonts w:hint="eastAsia" w:ascii="方正仿宋_GBK" w:hAnsi="方正仿宋_GBK" w:eastAsia="方正仿宋_GBK" w:cs="方正仿宋_GBK"/>
          <w:color w:val="auto"/>
          <w:szCs w:val="24"/>
        </w:rPr>
        <w:sectPr>
          <w:pgSz w:w="16840" w:h="11907" w:orient="landscape"/>
          <w:pgMar w:top="1418" w:right="1304" w:bottom="1418" w:left="1247" w:header="851" w:footer="992" w:gutter="0"/>
          <w:pgNumType w:fmt="decimal"/>
          <w:cols w:space="720" w:num="1"/>
          <w:docGrid w:linePitch="326" w:charSpace="0"/>
        </w:sectPr>
      </w:pPr>
      <w:r>
        <w:rPr>
          <w:rFonts w:hint="eastAsia" w:ascii="方正仿宋_GBK" w:hAnsi="方正仿宋_GBK" w:eastAsia="方正仿宋_GBK" w:cs="方正仿宋_GBK"/>
          <w:color w:val="auto"/>
          <w:szCs w:val="24"/>
        </w:rPr>
        <w:t xml:space="preserve">  </w:t>
      </w:r>
    </w:p>
    <w:p w14:paraId="62C4B7D4">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附件4：企业或机构相关证件</w:t>
      </w:r>
    </w:p>
    <w:p w14:paraId="3B91EEC9">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例如：营业执照</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单位资质、人员资格证书及注册信息</w:t>
      </w:r>
      <w:r>
        <w:rPr>
          <w:rFonts w:hint="eastAsia" w:asciiTheme="minorEastAsia" w:hAnsiTheme="minorEastAsia" w:eastAsiaTheme="minorEastAsia" w:cstheme="minorEastAsia"/>
          <w:color w:val="auto"/>
          <w:szCs w:val="24"/>
        </w:rPr>
        <w:t>等相关文件（复印件，须加盖供应商公章）</w:t>
      </w:r>
    </w:p>
    <w:p w14:paraId="0BD451BC">
      <w:pPr>
        <w:spacing w:line="360" w:lineRule="auto"/>
        <w:rPr>
          <w:rFonts w:hint="eastAsia" w:asciiTheme="minorEastAsia" w:hAnsiTheme="minorEastAsia" w:eastAsiaTheme="minorEastAsia" w:cstheme="minorEastAsia"/>
          <w:color w:val="auto"/>
          <w:szCs w:val="24"/>
        </w:rPr>
      </w:pPr>
    </w:p>
    <w:p w14:paraId="3C53E697">
      <w:pPr>
        <w:spacing w:line="360" w:lineRule="auto"/>
        <w:rPr>
          <w:rFonts w:hint="eastAsia" w:asciiTheme="minorEastAsia" w:hAnsiTheme="minorEastAsia" w:eastAsiaTheme="minorEastAsia" w:cstheme="minorEastAsia"/>
          <w:color w:val="auto"/>
          <w:szCs w:val="24"/>
        </w:rPr>
      </w:pPr>
    </w:p>
    <w:p w14:paraId="0F5B294F">
      <w:pPr>
        <w:spacing w:line="360" w:lineRule="auto"/>
        <w:rPr>
          <w:rFonts w:hint="eastAsia" w:asciiTheme="minorEastAsia" w:hAnsiTheme="minorEastAsia" w:eastAsiaTheme="minorEastAsia" w:cstheme="minorEastAsia"/>
          <w:color w:val="auto"/>
          <w:szCs w:val="24"/>
        </w:rPr>
      </w:pPr>
    </w:p>
    <w:p w14:paraId="7C5E9C06">
      <w:pPr>
        <w:spacing w:line="360" w:lineRule="auto"/>
        <w:rPr>
          <w:rFonts w:hint="eastAsia" w:ascii="Times New Roman" w:hAnsi="Times New Roman" w:eastAsia="宋体" w:cs="Times New Roman"/>
          <w:color w:val="auto"/>
          <w:kern w:val="0"/>
          <w:szCs w:val="24"/>
          <w:lang w:val="en-US" w:eastAsia="zh-CN"/>
        </w:rPr>
      </w:pPr>
      <w:r>
        <w:rPr>
          <w:rFonts w:hint="eastAsia" w:ascii="方正仿宋_GBK" w:hAnsi="方正仿宋_GBK" w:eastAsia="方正仿宋_GBK" w:cs="方正仿宋_GBK"/>
          <w:color w:val="auto"/>
          <w:szCs w:val="24"/>
        </w:rPr>
        <w:br w:type="page"/>
      </w:r>
      <w:r>
        <w:rPr>
          <w:rFonts w:hint="eastAsia" w:asciiTheme="minorEastAsia" w:hAnsiTheme="minorEastAsia" w:eastAsiaTheme="minorEastAsia" w:cstheme="minorEastAsia"/>
          <w:color w:val="auto"/>
          <w:szCs w:val="24"/>
        </w:rPr>
        <w:t>附件5：</w:t>
      </w:r>
      <w:r>
        <w:rPr>
          <w:rFonts w:hint="eastAsia" w:ascii="Times New Roman" w:hAnsi="Times New Roman" w:eastAsia="宋体" w:cs="Times New Roman"/>
          <w:color w:val="auto"/>
          <w:kern w:val="0"/>
          <w:szCs w:val="24"/>
          <w:lang w:val="en-US" w:eastAsia="zh-CN"/>
        </w:rPr>
        <w:t>健全的财务会计制度</w:t>
      </w:r>
    </w:p>
    <w:p w14:paraId="59DE79F7">
      <w:pPr>
        <w:spacing w:line="360" w:lineRule="auto"/>
        <w:ind w:firstLine="420" w:firstLineChars="200"/>
        <w:rPr>
          <w:rFonts w:hint="default" w:ascii="Times New Roman" w:hAnsi="Times New Roman" w:eastAsia="宋体" w:cs="Times New Roman"/>
          <w:color w:val="auto"/>
          <w:szCs w:val="24"/>
        </w:rPr>
      </w:pPr>
      <w:r>
        <w:rPr>
          <w:rFonts w:hint="eastAsia" w:ascii="Times New Roman" w:hAnsi="Times New Roman" w:eastAsia="宋体" w:cs="Times New Roman"/>
          <w:color w:val="auto"/>
          <w:kern w:val="0"/>
          <w:szCs w:val="24"/>
          <w:lang w:val="en-US" w:eastAsia="zh-CN"/>
        </w:rPr>
        <w:t>近3年任意年度经审计财务报表或内部财务报表或健全的财务制度均可</w:t>
      </w:r>
      <w:r>
        <w:rPr>
          <w:rFonts w:hint="eastAsia" w:asciiTheme="minorEastAsia" w:hAnsiTheme="minorEastAsia" w:eastAsiaTheme="minorEastAsia" w:cstheme="minorEastAsia"/>
          <w:color w:val="auto"/>
          <w:kern w:val="0"/>
          <w:szCs w:val="24"/>
          <w:lang w:val="zh-CN"/>
        </w:rPr>
        <w:t>。</w:t>
      </w:r>
      <w:r>
        <w:rPr>
          <w:rFonts w:hint="eastAsia" w:ascii="方正仿宋_GBK" w:hAnsi="方正仿宋_GBK" w:eastAsia="方正仿宋_GBK" w:cs="方正仿宋_GBK"/>
          <w:color w:val="auto"/>
          <w:kern w:val="0"/>
          <w:szCs w:val="24"/>
          <w:lang w:val="zh-CN"/>
        </w:rPr>
        <w:br w:type="page"/>
      </w:r>
      <w:r>
        <w:rPr>
          <w:rFonts w:hint="eastAsia" w:asciiTheme="minorEastAsia" w:hAnsiTheme="minorEastAsia" w:eastAsiaTheme="minorEastAsia" w:cstheme="minorEastAsia"/>
          <w:color w:val="auto"/>
          <w:szCs w:val="24"/>
        </w:rPr>
        <w:t>附件6：</w:t>
      </w:r>
      <w:r>
        <w:rPr>
          <w:rFonts w:hint="default" w:ascii="Times New Roman" w:hAnsi="Times New Roman" w:eastAsia="宋体" w:cs="Times New Roman"/>
          <w:color w:val="auto"/>
          <w:szCs w:val="24"/>
        </w:rPr>
        <w:t>有依法缴纳社会保障资金的良好记录</w:t>
      </w:r>
    </w:p>
    <w:p w14:paraId="654EED65">
      <w:pPr>
        <w:spacing w:line="360" w:lineRule="auto"/>
        <w:ind w:firstLine="420" w:firstLineChars="200"/>
        <w:rPr>
          <w:rFonts w:hint="eastAsia" w:ascii="Times New Roman" w:hAnsi="Times New Roman" w:eastAsia="宋体" w:cs="Times New Roman"/>
          <w:color w:val="auto"/>
          <w:szCs w:val="24"/>
          <w:lang w:eastAsia="zh-CN"/>
        </w:rPr>
      </w:pPr>
      <w:r>
        <w:rPr>
          <w:rFonts w:hint="default" w:ascii="Times New Roman" w:hAnsi="Times New Roman" w:eastAsia="宋体" w:cs="Times New Roman"/>
          <w:color w:val="auto"/>
          <w:szCs w:val="24"/>
        </w:rPr>
        <w:t>供应商须提供参加本次政府采购活动最近半年内任意一个月的缴纳社会保障资金的有效票据凭证（须加盖供应商公章）或供应商的承诺书（格式自制）</w:t>
      </w:r>
      <w:r>
        <w:rPr>
          <w:rFonts w:hint="eastAsia" w:ascii="Times New Roman" w:hAnsi="Times New Roman" w:eastAsia="宋体" w:cs="Times New Roman"/>
          <w:color w:val="auto"/>
          <w:szCs w:val="24"/>
          <w:lang w:eastAsia="zh-CN"/>
        </w:rPr>
        <w:t>。</w:t>
      </w:r>
    </w:p>
    <w:p w14:paraId="5B1243C9">
      <w:pPr>
        <w:spacing w:line="360" w:lineRule="auto"/>
        <w:rPr>
          <w:rFonts w:hint="eastAsia" w:asciiTheme="minorEastAsia" w:hAnsiTheme="minorEastAsia" w:eastAsiaTheme="minorEastAsia" w:cstheme="minorEastAsia"/>
          <w:color w:val="auto"/>
          <w:szCs w:val="24"/>
        </w:rPr>
      </w:pPr>
    </w:p>
    <w:p w14:paraId="25E54E95">
      <w:pPr>
        <w:spacing w:line="360" w:lineRule="auto"/>
        <w:rPr>
          <w:rFonts w:hint="eastAsia" w:ascii="方正仿宋_GBK" w:hAnsi="方正仿宋_GBK" w:eastAsia="方正仿宋_GBK" w:cs="方正仿宋_GBK"/>
          <w:color w:val="auto"/>
          <w:szCs w:val="24"/>
        </w:rPr>
      </w:pPr>
    </w:p>
    <w:p w14:paraId="13715518">
      <w:pPr>
        <w:spacing w:line="360" w:lineRule="auto"/>
        <w:rPr>
          <w:rFonts w:hint="eastAsia" w:ascii="方正仿宋_GBK" w:hAnsi="方正仿宋_GBK" w:eastAsia="方正仿宋_GBK" w:cs="方正仿宋_GBK"/>
          <w:color w:val="auto"/>
          <w:szCs w:val="24"/>
        </w:rPr>
      </w:pPr>
    </w:p>
    <w:p w14:paraId="01E48FCB">
      <w:pPr>
        <w:spacing w:line="360" w:lineRule="auto"/>
        <w:rPr>
          <w:rFonts w:hint="eastAsia" w:ascii="Times New Roman" w:hAnsi="Times New Roman" w:eastAsia="宋体" w:cs="Times New Roman"/>
          <w:color w:val="auto"/>
          <w:szCs w:val="24"/>
          <w:lang w:eastAsia="zh-CN"/>
        </w:rPr>
      </w:pPr>
      <w:r>
        <w:rPr>
          <w:rFonts w:hint="eastAsia" w:ascii="方正仿宋_GBK" w:hAnsi="方正仿宋_GBK" w:eastAsia="方正仿宋_GBK" w:cs="方正仿宋_GBK"/>
          <w:color w:val="auto"/>
          <w:szCs w:val="24"/>
        </w:rPr>
        <w:br w:type="page"/>
      </w:r>
      <w:r>
        <w:rPr>
          <w:rFonts w:hint="eastAsia" w:asciiTheme="minorEastAsia" w:hAnsiTheme="minorEastAsia" w:eastAsiaTheme="minorEastAsia" w:cstheme="minorEastAsia"/>
          <w:color w:val="auto"/>
          <w:szCs w:val="24"/>
        </w:rPr>
        <w:t>附件7：</w:t>
      </w:r>
      <w:r>
        <w:rPr>
          <w:rFonts w:hint="default" w:ascii="Times New Roman" w:hAnsi="Times New Roman" w:eastAsia="宋体" w:cs="Times New Roman"/>
          <w:color w:val="auto"/>
          <w:szCs w:val="24"/>
        </w:rPr>
        <w:t>有依法缴纳税收的良好记录</w:t>
      </w:r>
    </w:p>
    <w:p w14:paraId="72434049">
      <w:pPr>
        <w:spacing w:line="360" w:lineRule="auto"/>
        <w:ind w:firstLine="420" w:firstLineChars="200"/>
        <w:rPr>
          <w:rFonts w:hint="eastAsia" w:ascii="方正仿宋_GBK" w:hAnsi="方正仿宋_GBK" w:eastAsia="宋体" w:cs="方正仿宋_GBK"/>
          <w:color w:val="auto"/>
          <w:szCs w:val="24"/>
          <w:lang w:eastAsia="zh-CN"/>
        </w:rPr>
      </w:pPr>
      <w:r>
        <w:rPr>
          <w:rFonts w:hint="default" w:ascii="Times New Roman" w:hAnsi="Times New Roman" w:eastAsia="宋体" w:cs="Times New Roman"/>
          <w:color w:val="auto"/>
          <w:szCs w:val="24"/>
        </w:rPr>
        <w:t>供应商须提供参加本次政府采购活动最近半年内任意一个月的纳税有效凭据（须加盖供应商公章）或供应商的承诺书（格式自制）</w:t>
      </w:r>
      <w:r>
        <w:rPr>
          <w:rFonts w:hint="eastAsia" w:ascii="Times New Roman" w:hAnsi="Times New Roman" w:eastAsia="宋体" w:cs="Times New Roman"/>
          <w:color w:val="auto"/>
          <w:szCs w:val="24"/>
          <w:lang w:eastAsia="zh-CN"/>
        </w:rPr>
        <w:t>。</w:t>
      </w:r>
    </w:p>
    <w:p w14:paraId="2998B3D9">
      <w:pPr>
        <w:spacing w:line="360" w:lineRule="auto"/>
        <w:rPr>
          <w:rFonts w:hint="eastAsia" w:ascii="方正仿宋_GBK" w:hAnsi="方正仿宋_GBK" w:eastAsia="方正仿宋_GBK" w:cs="方正仿宋_GBK"/>
          <w:color w:val="auto"/>
          <w:szCs w:val="24"/>
        </w:rPr>
      </w:pPr>
    </w:p>
    <w:p w14:paraId="7899840A">
      <w:pPr>
        <w:spacing w:line="360" w:lineRule="auto"/>
        <w:rPr>
          <w:rFonts w:hint="eastAsia" w:ascii="方正仿宋_GBK" w:hAnsi="方正仿宋_GBK" w:eastAsia="方正仿宋_GBK" w:cs="方正仿宋_GBK"/>
          <w:color w:val="auto"/>
          <w:szCs w:val="24"/>
        </w:rPr>
      </w:pPr>
    </w:p>
    <w:p w14:paraId="530B1AAE">
      <w:pPr>
        <w:spacing w:line="360" w:lineRule="auto"/>
        <w:rPr>
          <w:rFonts w:hint="eastAsia" w:ascii="方正仿宋_GBK" w:hAnsi="方正仿宋_GBK" w:eastAsia="方正仿宋_GBK" w:cs="方正仿宋_GBK"/>
          <w:color w:val="auto"/>
          <w:szCs w:val="24"/>
        </w:rPr>
      </w:pPr>
    </w:p>
    <w:p w14:paraId="738095B0">
      <w:pPr>
        <w:spacing w:line="360" w:lineRule="auto"/>
        <w:rPr>
          <w:rFonts w:hint="eastAsia" w:ascii="方正仿宋_GBK" w:hAnsi="方正仿宋_GBK" w:eastAsia="方正仿宋_GBK" w:cs="方正仿宋_GBK"/>
          <w:color w:val="auto"/>
          <w:szCs w:val="24"/>
        </w:rPr>
      </w:pPr>
    </w:p>
    <w:p w14:paraId="797389CB">
      <w:pPr>
        <w:spacing w:line="360" w:lineRule="auto"/>
        <w:rPr>
          <w:rFonts w:hint="eastAsia" w:asciiTheme="minorEastAsia" w:hAnsiTheme="minorEastAsia" w:eastAsiaTheme="minorEastAsia" w:cstheme="minorEastAsia"/>
          <w:color w:val="auto"/>
          <w:szCs w:val="24"/>
        </w:rPr>
      </w:pPr>
      <w:r>
        <w:rPr>
          <w:rFonts w:hint="eastAsia" w:ascii="方正仿宋_GBK" w:hAnsi="方正仿宋_GBK" w:eastAsia="方正仿宋_GBK" w:cs="方正仿宋_GBK"/>
          <w:color w:val="auto"/>
          <w:szCs w:val="24"/>
        </w:rPr>
        <w:br w:type="page"/>
      </w:r>
      <w:r>
        <w:rPr>
          <w:rFonts w:hint="eastAsia" w:asciiTheme="minorEastAsia" w:hAnsiTheme="minorEastAsia" w:eastAsiaTheme="minorEastAsia" w:cstheme="minorEastAsia"/>
          <w:color w:val="auto"/>
          <w:szCs w:val="24"/>
        </w:rPr>
        <w:t>附件8：参加本次政府采购活动前三年内在经营活动中没有重大违法记录的声明（供应商须提供此声明，法定代表人或被授权人签字，加盖本单位公章。按《磋商文件》格式填写）</w:t>
      </w:r>
    </w:p>
    <w:p w14:paraId="3FE0C05D">
      <w:pPr>
        <w:spacing w:line="360" w:lineRule="auto"/>
        <w:rPr>
          <w:rFonts w:hint="eastAsia" w:asciiTheme="minorEastAsia" w:hAnsiTheme="minorEastAsia" w:eastAsiaTheme="minorEastAsia" w:cstheme="minorEastAsia"/>
          <w:color w:val="auto"/>
          <w:szCs w:val="24"/>
        </w:rPr>
      </w:pPr>
    </w:p>
    <w:p w14:paraId="14C7B4F8">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u w:val="single"/>
        </w:rPr>
        <w:t>（采购人名称）</w:t>
      </w:r>
      <w:r>
        <w:rPr>
          <w:rFonts w:hint="eastAsia" w:asciiTheme="minorEastAsia" w:hAnsiTheme="minorEastAsia" w:eastAsiaTheme="minorEastAsia" w:cstheme="minorEastAsia"/>
          <w:color w:val="auto"/>
          <w:szCs w:val="24"/>
        </w:rPr>
        <w:t>：</w:t>
      </w:r>
    </w:p>
    <w:p w14:paraId="55E1C398">
      <w:pPr>
        <w:spacing w:line="360" w:lineRule="auto"/>
        <w:rPr>
          <w:rFonts w:hint="eastAsia" w:asciiTheme="minorEastAsia" w:hAnsiTheme="minorEastAsia" w:eastAsiaTheme="minorEastAsia" w:cstheme="minorEastAsia"/>
          <w:color w:val="auto"/>
          <w:szCs w:val="24"/>
        </w:rPr>
      </w:pPr>
    </w:p>
    <w:p w14:paraId="5ED55EAE">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我公司在参加本次政府采购活动前三年内，在经营活动中没有重大违法记录。</w:t>
      </w:r>
    </w:p>
    <w:p w14:paraId="5360A948">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特此声明。</w:t>
      </w:r>
    </w:p>
    <w:p w14:paraId="58E5E5CD">
      <w:pPr>
        <w:spacing w:line="360" w:lineRule="auto"/>
        <w:rPr>
          <w:rFonts w:hint="eastAsia" w:asciiTheme="minorEastAsia" w:hAnsiTheme="minorEastAsia" w:eastAsiaTheme="minorEastAsia" w:cstheme="minorEastAsia"/>
          <w:color w:val="auto"/>
          <w:szCs w:val="24"/>
        </w:rPr>
      </w:pPr>
    </w:p>
    <w:p w14:paraId="2432A70F">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法定代表人本人或被授权人签字或签章：</w:t>
      </w:r>
    </w:p>
    <w:p w14:paraId="650F34D5">
      <w:pPr>
        <w:spacing w:line="360" w:lineRule="auto"/>
        <w:rPr>
          <w:rFonts w:hint="eastAsia" w:asciiTheme="minorEastAsia" w:hAnsiTheme="minorEastAsia" w:eastAsiaTheme="minorEastAsia" w:cstheme="minorEastAsia"/>
          <w:color w:val="auto"/>
          <w:szCs w:val="24"/>
        </w:rPr>
      </w:pPr>
    </w:p>
    <w:p w14:paraId="1D018BE1">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供应商公章：</w:t>
      </w:r>
    </w:p>
    <w:p w14:paraId="42170EE5">
      <w:pPr>
        <w:spacing w:line="360" w:lineRule="auto"/>
        <w:rPr>
          <w:rFonts w:hint="eastAsia" w:ascii="方正仿宋_GBK" w:hAnsi="方正仿宋_GBK" w:eastAsia="方正仿宋_GBK" w:cs="方正仿宋_GBK"/>
          <w:color w:val="auto"/>
          <w:szCs w:val="24"/>
        </w:rPr>
      </w:pPr>
    </w:p>
    <w:p w14:paraId="651F2A61">
      <w:pPr>
        <w:spacing w:line="360" w:lineRule="auto"/>
        <w:rPr>
          <w:rFonts w:hint="eastAsia" w:ascii="方正仿宋_GBK" w:hAnsi="方正仿宋_GBK" w:eastAsia="方正仿宋_GBK" w:cs="方正仿宋_GBK"/>
          <w:color w:val="auto"/>
          <w:szCs w:val="24"/>
        </w:rPr>
        <w:sectPr>
          <w:pgSz w:w="11907" w:h="16840"/>
          <w:pgMar w:top="1304" w:right="1418" w:bottom="1247" w:left="1418" w:header="851" w:footer="992" w:gutter="0"/>
          <w:pgNumType w:fmt="decimal"/>
          <w:cols w:space="720" w:num="1"/>
        </w:sectPr>
      </w:pPr>
      <w:r>
        <w:rPr>
          <w:rFonts w:hint="eastAsia" w:ascii="方正仿宋_GBK" w:hAnsi="方正仿宋_GBK" w:eastAsia="方正仿宋_GBK" w:cs="方正仿宋_GBK"/>
          <w:color w:val="auto"/>
          <w:szCs w:val="24"/>
        </w:rPr>
        <w:t xml:space="preserve">                                           年  月  日</w:t>
      </w:r>
    </w:p>
    <w:p w14:paraId="33749DA6">
      <w:pPr>
        <w:spacing w:line="360" w:lineRule="auto"/>
        <w:rPr>
          <w:rFonts w:hint="eastAsia" w:asciiTheme="minorEastAsia" w:hAnsiTheme="minorEastAsia" w:eastAsiaTheme="minorEastAsia" w:cstheme="minorEastAsia"/>
          <w:color w:val="auto"/>
          <w:szCs w:val="24"/>
        </w:rPr>
      </w:pPr>
      <w:bookmarkStart w:id="109" w:name="_Toc315710858"/>
      <w:bookmarkStart w:id="110" w:name="_Toc459046486"/>
      <w:bookmarkStart w:id="111" w:name="_Toc387242491"/>
      <w:r>
        <w:rPr>
          <w:rFonts w:hint="eastAsia" w:asciiTheme="minorEastAsia" w:hAnsiTheme="minorEastAsia" w:eastAsiaTheme="minorEastAsia" w:cstheme="minorEastAsia"/>
          <w:color w:val="auto"/>
        </w:rPr>
        <w:t>附件9：</w:t>
      </w:r>
      <w:bookmarkStart w:id="112" w:name="_Hlk7592705"/>
      <w:r>
        <w:rPr>
          <w:rFonts w:hint="eastAsia" w:asciiTheme="minorEastAsia" w:hAnsiTheme="minorEastAsia" w:eastAsiaTheme="minorEastAsia" w:cstheme="minorEastAsia"/>
          <w:color w:val="auto"/>
          <w:szCs w:val="24"/>
        </w:rPr>
        <w:t>供应商近三年（20</w:t>
      </w:r>
      <w:r>
        <w:rPr>
          <w:rFonts w:hint="eastAsia" w:asciiTheme="minorEastAsia" w:hAnsiTheme="minorEastAsia" w:eastAsiaTheme="minorEastAsia" w:cstheme="minorEastAsia"/>
          <w:color w:val="auto"/>
          <w:szCs w:val="24"/>
          <w:lang w:val="en-US" w:eastAsia="zh-CN"/>
        </w:rPr>
        <w:t>2</w:t>
      </w:r>
      <w:r>
        <w:rPr>
          <w:rFonts w:hint="eastAsia" w:asciiTheme="minorEastAsia" w:hAnsiTheme="minorEastAsia" w:cstheme="minorEastAsia"/>
          <w:color w:val="auto"/>
          <w:szCs w:val="24"/>
          <w:lang w:val="en-US" w:eastAsia="zh-CN"/>
        </w:rPr>
        <w:t>2</w:t>
      </w:r>
      <w:r>
        <w:rPr>
          <w:rFonts w:hint="eastAsia" w:asciiTheme="minorEastAsia" w:hAnsiTheme="minorEastAsia" w:eastAsiaTheme="minorEastAsia" w:cstheme="minorEastAsia"/>
          <w:color w:val="auto"/>
          <w:szCs w:val="24"/>
        </w:rPr>
        <w:t>年</w:t>
      </w:r>
      <w:bookmarkStart w:id="113" w:name="OLE_LINK14"/>
      <w:r>
        <w:rPr>
          <w:rFonts w:hint="eastAsia" w:asciiTheme="minorEastAsia" w:hAnsiTheme="minorEastAsia" w:cstheme="minorEastAsia"/>
          <w:color w:val="auto"/>
          <w:szCs w:val="24"/>
          <w:lang w:val="en-US" w:eastAsia="zh-CN"/>
        </w:rPr>
        <w:t>1</w:t>
      </w:r>
      <w:r>
        <w:rPr>
          <w:rFonts w:hint="eastAsia" w:asciiTheme="minorEastAsia" w:hAnsiTheme="minorEastAsia" w:eastAsiaTheme="minorEastAsia" w:cstheme="minorEastAsia"/>
          <w:color w:val="auto"/>
          <w:szCs w:val="24"/>
        </w:rPr>
        <w:t>月</w:t>
      </w:r>
      <w:bookmarkEnd w:id="113"/>
      <w:r>
        <w:rPr>
          <w:rFonts w:hint="eastAsia" w:asciiTheme="minorEastAsia" w:hAnsiTheme="minorEastAsia" w:cstheme="minorEastAsia"/>
          <w:color w:val="auto"/>
          <w:szCs w:val="24"/>
          <w:lang w:val="en-US" w:eastAsia="zh-CN"/>
        </w:rPr>
        <w:t>1</w:t>
      </w:r>
      <w:r>
        <w:rPr>
          <w:rFonts w:hint="eastAsia" w:asciiTheme="minorEastAsia" w:hAnsiTheme="minorEastAsia" w:eastAsiaTheme="minorEastAsia" w:cstheme="minorEastAsia"/>
          <w:color w:val="auto"/>
          <w:szCs w:val="24"/>
        </w:rPr>
        <w:t>日起至响应文件递交截止之日前3日内）未被“信用中国”网站及“中国政府采购网”网站列入失信被执行人、税收违法黑名单、政府采购严重违法失信行为记录名单。</w:t>
      </w:r>
      <w:bookmarkEnd w:id="112"/>
    </w:p>
    <w:p w14:paraId="1AC15759">
      <w:pPr>
        <w:pStyle w:val="6"/>
        <w:spacing w:before="31" w:line="336" w:lineRule="auto"/>
        <w:ind w:left="224" w:right="685" w:firstLine="210" w:firstLineChars="1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（1）供应商须提交在规定网站查询到的信用记录结果网页截屏，并加盖供应商公章。</w:t>
      </w:r>
    </w:p>
    <w:p w14:paraId="3C2CECB5">
      <w:pPr>
        <w:pStyle w:val="6"/>
        <w:spacing w:before="31" w:line="336" w:lineRule="auto"/>
        <w:ind w:left="224" w:right="685" w:firstLine="210" w:firstLineChars="1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（2）网页截屏中应能显示公司名称、信用记录情况、查询时间等主要内容（查询时间范围应为本项目磋商文件发出之日至磋商截止日之间）。</w:t>
      </w:r>
    </w:p>
    <w:p w14:paraId="367B5233">
      <w:pPr>
        <w:pStyle w:val="6"/>
        <w:spacing w:before="31" w:line="336" w:lineRule="auto"/>
        <w:ind w:left="224" w:right="685" w:firstLine="210" w:firstLineChars="100"/>
        <w:rPr>
          <w:rFonts w:hint="eastAsia" w:ascii="方正仿宋_GBK" w:hAnsi="方正仿宋_GBK" w:eastAsia="方正仿宋_GBK" w:cs="方正仿宋_GBK"/>
          <w:color w:val="auto"/>
        </w:rPr>
        <w:sectPr>
          <w:headerReference r:id="rId6" w:type="default"/>
          <w:type w:val="continuous"/>
          <w:pgSz w:w="11906" w:h="16838"/>
          <w:pgMar w:top="1440" w:right="1800" w:bottom="1440" w:left="1800" w:header="851" w:footer="992" w:gutter="0"/>
          <w:pgNumType w:fmt="decimal"/>
          <w:cols w:space="720" w:num="1"/>
          <w:docGrid w:linePitch="312" w:charSpace="0"/>
        </w:sectPr>
      </w:pPr>
      <w:r>
        <w:rPr>
          <w:rFonts w:hint="eastAsia" w:asciiTheme="minorEastAsia" w:hAnsiTheme="minorEastAsia" w:eastAsiaTheme="minorEastAsia" w:cstheme="minorEastAsia"/>
          <w:color w:val="auto"/>
        </w:rPr>
        <w:t>（3）信用记录网页查询结果包括：无法查到相关信息、无不良记录、有不良记录三种情形。前两种情形视为无不良记录。</w:t>
      </w:r>
    </w:p>
    <w:p w14:paraId="77A22939">
      <w:pPr>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附件1</w:t>
      </w:r>
      <w:r>
        <w:rPr>
          <w:rFonts w:hint="eastAsia" w:ascii="Times New Roman" w:hAnsi="Times New Roman" w:eastAsia="宋体" w:cs="Times New Roman"/>
          <w:color w:val="auto"/>
          <w:lang w:val="en-US" w:eastAsia="zh-CN"/>
        </w:rPr>
        <w:t>0</w:t>
      </w:r>
      <w:r>
        <w:rPr>
          <w:rFonts w:hint="default" w:ascii="Times New Roman" w:hAnsi="Times New Roman" w:eastAsia="宋体" w:cs="Times New Roman"/>
          <w:color w:val="auto"/>
        </w:rPr>
        <w:t>：商务条款偏离表</w:t>
      </w:r>
    </w:p>
    <w:p w14:paraId="7002D366">
      <w:pPr>
        <w:pStyle w:val="6"/>
        <w:rPr>
          <w:rFonts w:hint="default" w:ascii="Times New Roman" w:hAnsi="Times New Roman" w:cs="Times New Roman"/>
          <w:color w:val="auto"/>
          <w:lang w:eastAsia="zh-CN"/>
        </w:rPr>
      </w:pPr>
    </w:p>
    <w:p w14:paraId="04B9EE07">
      <w:pPr>
        <w:pStyle w:val="6"/>
        <w:rPr>
          <w:rFonts w:hint="default" w:ascii="Times New Roman" w:hAnsi="Times New Roman" w:cs="Times New Roman"/>
          <w:color w:val="auto"/>
          <w:lang w:eastAsia="zh-CN"/>
        </w:rPr>
      </w:pPr>
    </w:p>
    <w:p w14:paraId="7F9FF3AE">
      <w:pPr>
        <w:rPr>
          <w:rFonts w:hint="default" w:ascii="Times New Roman" w:hAnsi="Times New Roman" w:eastAsia="宋体" w:cs="Times New Roman"/>
          <w:color w:val="auto"/>
        </w:rPr>
      </w:pPr>
      <w:bookmarkStart w:id="114" w:name="_Toc32437"/>
      <w:bookmarkEnd w:id="114"/>
      <w:r>
        <w:rPr>
          <w:rFonts w:hint="default" w:ascii="Times New Roman" w:hAnsi="Times New Roman" w:eastAsia="宋体" w:cs="Times New Roman"/>
          <w:color w:val="auto"/>
        </w:rPr>
        <w:t xml:space="preserve">供应商名称:___________                      </w:t>
      </w:r>
      <w:r>
        <w:rPr>
          <w:rFonts w:hint="default" w:ascii="Times New Roman" w:hAnsi="Times New Roman" w:eastAsia="宋体" w:cs="Times New Roman"/>
          <w:color w:val="auto"/>
          <w:lang w:val="en-US" w:eastAsia="zh-CN"/>
        </w:rPr>
        <w:t>项目</w:t>
      </w:r>
      <w:r>
        <w:rPr>
          <w:rFonts w:hint="default" w:ascii="Times New Roman" w:hAnsi="Times New Roman" w:eastAsia="宋体" w:cs="Times New Roman"/>
          <w:color w:val="auto"/>
        </w:rPr>
        <w:t>编号:_______________</w:t>
      </w:r>
    </w:p>
    <w:tbl>
      <w:tblPr>
        <w:tblStyle w:val="15"/>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1716"/>
        <w:gridCol w:w="2204"/>
        <w:gridCol w:w="1530"/>
      </w:tblGrid>
      <w:tr w14:paraId="20A4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AE82735">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序号</w:t>
            </w:r>
          </w:p>
        </w:tc>
        <w:tc>
          <w:tcPr>
            <w:tcW w:w="1980" w:type="dxa"/>
            <w:vAlign w:val="center"/>
          </w:tcPr>
          <w:p w14:paraId="6CFD3FA0">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磋商文件条目号</w:t>
            </w:r>
          </w:p>
        </w:tc>
        <w:tc>
          <w:tcPr>
            <w:tcW w:w="1716" w:type="dxa"/>
            <w:vAlign w:val="center"/>
          </w:tcPr>
          <w:p w14:paraId="1BC67C65">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磋商文件要求</w:t>
            </w:r>
          </w:p>
        </w:tc>
        <w:tc>
          <w:tcPr>
            <w:tcW w:w="2204" w:type="dxa"/>
            <w:vAlign w:val="center"/>
          </w:tcPr>
          <w:p w14:paraId="5D10C42A">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相应文件响应内容</w:t>
            </w:r>
          </w:p>
        </w:tc>
        <w:tc>
          <w:tcPr>
            <w:tcW w:w="1530" w:type="dxa"/>
            <w:vAlign w:val="center"/>
          </w:tcPr>
          <w:p w14:paraId="6645AB8B">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对偏差的</w:t>
            </w:r>
          </w:p>
          <w:p w14:paraId="3E9E9F0A">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说明</w:t>
            </w:r>
          </w:p>
        </w:tc>
      </w:tr>
      <w:tr w14:paraId="5FBF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08" w:type="dxa"/>
            <w:vAlign w:val="center"/>
          </w:tcPr>
          <w:p w14:paraId="69F1621D">
            <w:pPr>
              <w:spacing w:line="360" w:lineRule="auto"/>
              <w:jc w:val="left"/>
              <w:rPr>
                <w:rFonts w:hint="default" w:ascii="Times New Roman" w:hAnsi="Times New Roman" w:eastAsia="宋体" w:cs="Times New Roman"/>
                <w:color w:val="auto"/>
                <w:szCs w:val="24"/>
              </w:rPr>
            </w:pPr>
          </w:p>
        </w:tc>
        <w:tc>
          <w:tcPr>
            <w:tcW w:w="1980" w:type="dxa"/>
            <w:vAlign w:val="center"/>
          </w:tcPr>
          <w:p w14:paraId="32EDCC0F">
            <w:pPr>
              <w:spacing w:line="360" w:lineRule="auto"/>
              <w:jc w:val="left"/>
              <w:rPr>
                <w:rFonts w:hint="default" w:ascii="Times New Roman" w:hAnsi="Times New Roman" w:eastAsia="宋体" w:cs="Times New Roman"/>
                <w:color w:val="auto"/>
                <w:szCs w:val="24"/>
              </w:rPr>
            </w:pPr>
          </w:p>
        </w:tc>
        <w:tc>
          <w:tcPr>
            <w:tcW w:w="1716" w:type="dxa"/>
            <w:vAlign w:val="center"/>
          </w:tcPr>
          <w:p w14:paraId="1A2DBF0A">
            <w:pPr>
              <w:spacing w:line="360" w:lineRule="auto"/>
              <w:jc w:val="left"/>
              <w:rPr>
                <w:rFonts w:hint="default" w:ascii="Times New Roman" w:hAnsi="Times New Roman" w:eastAsia="宋体" w:cs="Times New Roman"/>
                <w:color w:val="auto"/>
                <w:szCs w:val="24"/>
              </w:rPr>
            </w:pPr>
          </w:p>
        </w:tc>
        <w:tc>
          <w:tcPr>
            <w:tcW w:w="2204" w:type="dxa"/>
            <w:vAlign w:val="center"/>
          </w:tcPr>
          <w:p w14:paraId="2E5FCC21">
            <w:pPr>
              <w:spacing w:line="360" w:lineRule="auto"/>
              <w:jc w:val="left"/>
              <w:rPr>
                <w:rFonts w:hint="default" w:ascii="Times New Roman" w:hAnsi="Times New Roman" w:eastAsia="宋体" w:cs="Times New Roman"/>
                <w:color w:val="auto"/>
                <w:szCs w:val="24"/>
              </w:rPr>
            </w:pPr>
          </w:p>
        </w:tc>
        <w:tc>
          <w:tcPr>
            <w:tcW w:w="1530" w:type="dxa"/>
            <w:vAlign w:val="center"/>
          </w:tcPr>
          <w:p w14:paraId="1E32FAA8">
            <w:pPr>
              <w:spacing w:line="360" w:lineRule="auto"/>
              <w:jc w:val="left"/>
              <w:rPr>
                <w:rFonts w:hint="default" w:ascii="Times New Roman" w:hAnsi="Times New Roman" w:eastAsia="宋体" w:cs="Times New Roman"/>
                <w:color w:val="auto"/>
                <w:szCs w:val="24"/>
              </w:rPr>
            </w:pPr>
          </w:p>
        </w:tc>
      </w:tr>
      <w:tr w14:paraId="7636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FE9C007">
            <w:pPr>
              <w:spacing w:line="360" w:lineRule="auto"/>
              <w:jc w:val="left"/>
              <w:rPr>
                <w:rFonts w:hint="default" w:ascii="Times New Roman" w:hAnsi="Times New Roman" w:eastAsia="宋体" w:cs="Times New Roman"/>
                <w:color w:val="auto"/>
                <w:szCs w:val="24"/>
              </w:rPr>
            </w:pPr>
          </w:p>
        </w:tc>
        <w:tc>
          <w:tcPr>
            <w:tcW w:w="1980" w:type="dxa"/>
            <w:vAlign w:val="center"/>
          </w:tcPr>
          <w:p w14:paraId="617A76C8">
            <w:pPr>
              <w:spacing w:line="360" w:lineRule="auto"/>
              <w:jc w:val="left"/>
              <w:rPr>
                <w:rFonts w:hint="default" w:ascii="Times New Roman" w:hAnsi="Times New Roman" w:eastAsia="宋体" w:cs="Times New Roman"/>
                <w:color w:val="auto"/>
                <w:szCs w:val="24"/>
              </w:rPr>
            </w:pPr>
          </w:p>
        </w:tc>
        <w:tc>
          <w:tcPr>
            <w:tcW w:w="1716" w:type="dxa"/>
            <w:vAlign w:val="center"/>
          </w:tcPr>
          <w:p w14:paraId="64C56DAF">
            <w:pPr>
              <w:spacing w:line="360" w:lineRule="auto"/>
              <w:jc w:val="left"/>
              <w:rPr>
                <w:rFonts w:hint="default" w:ascii="Times New Roman" w:hAnsi="Times New Roman" w:eastAsia="宋体" w:cs="Times New Roman"/>
                <w:color w:val="auto"/>
                <w:szCs w:val="24"/>
              </w:rPr>
            </w:pPr>
          </w:p>
        </w:tc>
        <w:tc>
          <w:tcPr>
            <w:tcW w:w="2204" w:type="dxa"/>
            <w:vAlign w:val="center"/>
          </w:tcPr>
          <w:p w14:paraId="30C40BE7">
            <w:pPr>
              <w:spacing w:line="360" w:lineRule="auto"/>
              <w:jc w:val="left"/>
              <w:rPr>
                <w:rFonts w:hint="default" w:ascii="Times New Roman" w:hAnsi="Times New Roman" w:eastAsia="宋体" w:cs="Times New Roman"/>
                <w:color w:val="auto"/>
                <w:szCs w:val="24"/>
              </w:rPr>
            </w:pPr>
          </w:p>
        </w:tc>
        <w:tc>
          <w:tcPr>
            <w:tcW w:w="1530" w:type="dxa"/>
            <w:vAlign w:val="center"/>
          </w:tcPr>
          <w:p w14:paraId="653074A6">
            <w:pPr>
              <w:spacing w:line="360" w:lineRule="auto"/>
              <w:jc w:val="left"/>
              <w:rPr>
                <w:rFonts w:hint="default" w:ascii="Times New Roman" w:hAnsi="Times New Roman" w:eastAsia="宋体" w:cs="Times New Roman"/>
                <w:color w:val="auto"/>
                <w:szCs w:val="24"/>
              </w:rPr>
            </w:pPr>
          </w:p>
        </w:tc>
      </w:tr>
      <w:tr w14:paraId="2BF0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B84E569">
            <w:pPr>
              <w:spacing w:line="360" w:lineRule="auto"/>
              <w:jc w:val="left"/>
              <w:rPr>
                <w:rFonts w:hint="default" w:ascii="Times New Roman" w:hAnsi="Times New Roman" w:eastAsia="宋体" w:cs="Times New Roman"/>
                <w:color w:val="auto"/>
                <w:szCs w:val="24"/>
              </w:rPr>
            </w:pPr>
          </w:p>
        </w:tc>
        <w:tc>
          <w:tcPr>
            <w:tcW w:w="1980" w:type="dxa"/>
            <w:vAlign w:val="center"/>
          </w:tcPr>
          <w:p w14:paraId="7DE9AE36">
            <w:pPr>
              <w:spacing w:line="360" w:lineRule="auto"/>
              <w:jc w:val="left"/>
              <w:rPr>
                <w:rFonts w:hint="default" w:ascii="Times New Roman" w:hAnsi="Times New Roman" w:eastAsia="宋体" w:cs="Times New Roman"/>
                <w:color w:val="auto"/>
                <w:szCs w:val="24"/>
              </w:rPr>
            </w:pPr>
          </w:p>
        </w:tc>
        <w:tc>
          <w:tcPr>
            <w:tcW w:w="1716" w:type="dxa"/>
            <w:vAlign w:val="center"/>
          </w:tcPr>
          <w:p w14:paraId="30D6D48E">
            <w:pPr>
              <w:spacing w:line="360" w:lineRule="auto"/>
              <w:jc w:val="left"/>
              <w:rPr>
                <w:rFonts w:hint="default" w:ascii="Times New Roman" w:hAnsi="Times New Roman" w:eastAsia="宋体" w:cs="Times New Roman"/>
                <w:color w:val="auto"/>
                <w:szCs w:val="24"/>
              </w:rPr>
            </w:pPr>
          </w:p>
        </w:tc>
        <w:tc>
          <w:tcPr>
            <w:tcW w:w="2204" w:type="dxa"/>
            <w:vAlign w:val="center"/>
          </w:tcPr>
          <w:p w14:paraId="39705A60">
            <w:pPr>
              <w:spacing w:line="360" w:lineRule="auto"/>
              <w:jc w:val="left"/>
              <w:rPr>
                <w:rFonts w:hint="default" w:ascii="Times New Roman" w:hAnsi="Times New Roman" w:eastAsia="宋体" w:cs="Times New Roman"/>
                <w:color w:val="auto"/>
                <w:szCs w:val="24"/>
              </w:rPr>
            </w:pPr>
          </w:p>
        </w:tc>
        <w:tc>
          <w:tcPr>
            <w:tcW w:w="1530" w:type="dxa"/>
            <w:vAlign w:val="center"/>
          </w:tcPr>
          <w:p w14:paraId="3805E013">
            <w:pPr>
              <w:spacing w:line="360" w:lineRule="auto"/>
              <w:jc w:val="left"/>
              <w:rPr>
                <w:rFonts w:hint="default" w:ascii="Times New Roman" w:hAnsi="Times New Roman" w:eastAsia="宋体" w:cs="Times New Roman"/>
                <w:color w:val="auto"/>
                <w:szCs w:val="24"/>
              </w:rPr>
            </w:pPr>
          </w:p>
        </w:tc>
      </w:tr>
      <w:tr w14:paraId="2879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A3CEBA2">
            <w:pPr>
              <w:spacing w:line="360" w:lineRule="auto"/>
              <w:jc w:val="left"/>
              <w:rPr>
                <w:rFonts w:hint="default" w:ascii="Times New Roman" w:hAnsi="Times New Roman" w:eastAsia="宋体" w:cs="Times New Roman"/>
                <w:color w:val="auto"/>
                <w:szCs w:val="24"/>
              </w:rPr>
            </w:pPr>
          </w:p>
        </w:tc>
        <w:tc>
          <w:tcPr>
            <w:tcW w:w="1980" w:type="dxa"/>
            <w:vAlign w:val="center"/>
          </w:tcPr>
          <w:p w14:paraId="6456AC0D">
            <w:pPr>
              <w:spacing w:line="360" w:lineRule="auto"/>
              <w:jc w:val="left"/>
              <w:rPr>
                <w:rFonts w:hint="default" w:ascii="Times New Roman" w:hAnsi="Times New Roman" w:eastAsia="宋体" w:cs="Times New Roman"/>
                <w:color w:val="auto"/>
                <w:szCs w:val="24"/>
              </w:rPr>
            </w:pPr>
          </w:p>
        </w:tc>
        <w:tc>
          <w:tcPr>
            <w:tcW w:w="1716" w:type="dxa"/>
            <w:vAlign w:val="center"/>
          </w:tcPr>
          <w:p w14:paraId="6291E911">
            <w:pPr>
              <w:spacing w:line="360" w:lineRule="auto"/>
              <w:jc w:val="left"/>
              <w:rPr>
                <w:rFonts w:hint="default" w:ascii="Times New Roman" w:hAnsi="Times New Roman" w:eastAsia="宋体" w:cs="Times New Roman"/>
                <w:color w:val="auto"/>
                <w:szCs w:val="24"/>
              </w:rPr>
            </w:pPr>
          </w:p>
        </w:tc>
        <w:tc>
          <w:tcPr>
            <w:tcW w:w="2204" w:type="dxa"/>
            <w:vAlign w:val="center"/>
          </w:tcPr>
          <w:p w14:paraId="5F72AE31">
            <w:pPr>
              <w:spacing w:line="360" w:lineRule="auto"/>
              <w:jc w:val="left"/>
              <w:rPr>
                <w:rFonts w:hint="default" w:ascii="Times New Roman" w:hAnsi="Times New Roman" w:eastAsia="宋体" w:cs="Times New Roman"/>
                <w:color w:val="auto"/>
                <w:szCs w:val="24"/>
              </w:rPr>
            </w:pPr>
          </w:p>
        </w:tc>
        <w:tc>
          <w:tcPr>
            <w:tcW w:w="1530" w:type="dxa"/>
            <w:vAlign w:val="center"/>
          </w:tcPr>
          <w:p w14:paraId="4CD1BC0E">
            <w:pPr>
              <w:spacing w:line="360" w:lineRule="auto"/>
              <w:jc w:val="left"/>
              <w:rPr>
                <w:rFonts w:hint="default" w:ascii="Times New Roman" w:hAnsi="Times New Roman" w:eastAsia="宋体" w:cs="Times New Roman"/>
                <w:color w:val="auto"/>
                <w:szCs w:val="24"/>
              </w:rPr>
            </w:pPr>
          </w:p>
        </w:tc>
      </w:tr>
      <w:tr w14:paraId="7F60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E70B5B2">
            <w:pPr>
              <w:spacing w:line="360" w:lineRule="auto"/>
              <w:jc w:val="left"/>
              <w:rPr>
                <w:rFonts w:hint="default" w:ascii="Times New Roman" w:hAnsi="Times New Roman" w:eastAsia="宋体" w:cs="Times New Roman"/>
                <w:color w:val="auto"/>
                <w:szCs w:val="24"/>
              </w:rPr>
            </w:pPr>
          </w:p>
        </w:tc>
        <w:tc>
          <w:tcPr>
            <w:tcW w:w="1980" w:type="dxa"/>
            <w:vAlign w:val="center"/>
          </w:tcPr>
          <w:p w14:paraId="560026F8">
            <w:pPr>
              <w:spacing w:line="360" w:lineRule="auto"/>
              <w:jc w:val="left"/>
              <w:rPr>
                <w:rFonts w:hint="default" w:ascii="Times New Roman" w:hAnsi="Times New Roman" w:eastAsia="宋体" w:cs="Times New Roman"/>
                <w:color w:val="auto"/>
                <w:szCs w:val="24"/>
              </w:rPr>
            </w:pPr>
          </w:p>
        </w:tc>
        <w:tc>
          <w:tcPr>
            <w:tcW w:w="1716" w:type="dxa"/>
            <w:vAlign w:val="center"/>
          </w:tcPr>
          <w:p w14:paraId="3FDDC0B1">
            <w:pPr>
              <w:spacing w:line="360" w:lineRule="auto"/>
              <w:jc w:val="left"/>
              <w:rPr>
                <w:rFonts w:hint="default" w:ascii="Times New Roman" w:hAnsi="Times New Roman" w:eastAsia="宋体" w:cs="Times New Roman"/>
                <w:color w:val="auto"/>
                <w:szCs w:val="24"/>
              </w:rPr>
            </w:pPr>
          </w:p>
        </w:tc>
        <w:tc>
          <w:tcPr>
            <w:tcW w:w="2204" w:type="dxa"/>
            <w:vAlign w:val="center"/>
          </w:tcPr>
          <w:p w14:paraId="483065A7">
            <w:pPr>
              <w:spacing w:line="360" w:lineRule="auto"/>
              <w:jc w:val="left"/>
              <w:rPr>
                <w:rFonts w:hint="default" w:ascii="Times New Roman" w:hAnsi="Times New Roman" w:eastAsia="宋体" w:cs="Times New Roman"/>
                <w:color w:val="auto"/>
                <w:szCs w:val="24"/>
              </w:rPr>
            </w:pPr>
          </w:p>
        </w:tc>
        <w:tc>
          <w:tcPr>
            <w:tcW w:w="1530" w:type="dxa"/>
            <w:vAlign w:val="center"/>
          </w:tcPr>
          <w:p w14:paraId="19178969">
            <w:pPr>
              <w:spacing w:line="360" w:lineRule="auto"/>
              <w:jc w:val="left"/>
              <w:rPr>
                <w:rFonts w:hint="default" w:ascii="Times New Roman" w:hAnsi="Times New Roman" w:eastAsia="宋体" w:cs="Times New Roman"/>
                <w:color w:val="auto"/>
                <w:szCs w:val="24"/>
              </w:rPr>
            </w:pPr>
          </w:p>
        </w:tc>
      </w:tr>
    </w:tbl>
    <w:p w14:paraId="3D5E28B8">
      <w:pPr>
        <w:spacing w:line="360" w:lineRule="auto"/>
        <w:jc w:val="left"/>
        <w:rPr>
          <w:rFonts w:hint="default" w:ascii="Times New Roman" w:hAnsi="Times New Roman" w:eastAsia="宋体" w:cs="Times New Roman"/>
          <w:color w:val="auto"/>
          <w:szCs w:val="24"/>
        </w:rPr>
      </w:pPr>
    </w:p>
    <w:p w14:paraId="616B2799">
      <w:pPr>
        <w:spacing w:line="360" w:lineRule="auto"/>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授权代表签字：____________________________</w:t>
      </w:r>
    </w:p>
    <w:p w14:paraId="6313873E">
      <w:pPr>
        <w:spacing w:line="360" w:lineRule="auto"/>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供应商（盖章）</w:t>
      </w:r>
      <w:r>
        <w:rPr>
          <w:rFonts w:hint="eastAsia"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rPr>
        <w:t>_________________________</w:t>
      </w:r>
    </w:p>
    <w:p w14:paraId="0F3771E9">
      <w:pPr>
        <w:spacing w:line="360" w:lineRule="auto"/>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注意：供应商需按磋商文件中的要求作响应，若有偏离，偏离情况必须详细阐述。若无任何偏离，此表可全部填写“无”。</w:t>
      </w:r>
    </w:p>
    <w:p w14:paraId="261F4C6C">
      <w:pPr>
        <w:rPr>
          <w:rFonts w:hint="eastAsia" w:asciiTheme="minorEastAsia" w:hAnsiTheme="minorEastAsia" w:eastAsiaTheme="minorEastAsia" w:cstheme="minorEastAsia"/>
          <w:color w:val="auto"/>
        </w:rPr>
      </w:pPr>
      <w:bookmarkStart w:id="115" w:name="_Toc217446091"/>
      <w:bookmarkEnd w:id="115"/>
      <w:bookmarkStart w:id="116" w:name="_Toc262396943"/>
      <w:bookmarkEnd w:id="116"/>
      <w:r>
        <w:rPr>
          <w:rFonts w:hint="default" w:ascii="Times New Roman" w:hAnsi="Times New Roman" w:eastAsia="宋体" w:cs="Times New Roman"/>
          <w:color w:val="auto"/>
          <w:szCs w:val="24"/>
        </w:rPr>
        <w:br w:type="page"/>
      </w:r>
    </w:p>
    <w:p w14:paraId="560CAE9F">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附件1</w:t>
      </w:r>
      <w:bookmarkEnd w:id="109"/>
      <w:bookmarkEnd w:id="110"/>
      <w:bookmarkEnd w:id="111"/>
      <w:bookmarkStart w:id="117" w:name="_Toc459046489"/>
      <w:bookmarkStart w:id="118" w:name="_Toc17424"/>
      <w:r>
        <w:rPr>
          <w:rFonts w:hint="eastAsia" w:asciiTheme="minorEastAsia" w:hAnsiTheme="minorEastAsia" w:cstheme="minorEastAsia"/>
          <w:color w:val="auto"/>
          <w:lang w:val="en-US" w:eastAsia="zh-CN"/>
        </w:rPr>
        <w:t>1</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服务方案</w:t>
      </w:r>
      <w:bookmarkEnd w:id="117"/>
      <w:bookmarkEnd w:id="118"/>
      <w:r>
        <w:rPr>
          <w:rFonts w:hint="eastAsia" w:asciiTheme="minorEastAsia" w:hAnsiTheme="minorEastAsia" w:eastAsiaTheme="minorEastAsia" w:cstheme="minorEastAsia"/>
          <w:color w:val="auto"/>
          <w:lang w:val="en-US" w:eastAsia="zh-CN"/>
        </w:rPr>
        <w:t>和服务质量保障方案</w:t>
      </w:r>
    </w:p>
    <w:p w14:paraId="5BFB1515">
      <w:pPr>
        <w:pStyle w:val="9"/>
        <w:spacing w:before="120" w:after="120"/>
        <w:ind w:firstLine="420" w:firstLineChars="200"/>
        <w:rPr>
          <w:rFonts w:hint="eastAsia" w:asciiTheme="minorEastAsia" w:hAnsiTheme="minorEastAsia" w:eastAsiaTheme="minorEastAsia" w:cstheme="minorEastAsia"/>
          <w:color w:val="auto"/>
          <w:sz w:val="21"/>
          <w:szCs w:val="21"/>
          <w:lang w:val="en-US" w:eastAsia="zh-CN"/>
        </w:rPr>
        <w:sectPr>
          <w:pgSz w:w="11906" w:h="16838"/>
          <w:pgMar w:top="1440" w:right="1800" w:bottom="1440" w:left="1800" w:header="851" w:footer="992" w:gutter="0"/>
          <w:pgNumType w:fmt="decimal"/>
          <w:cols w:space="720" w:num="1"/>
          <w:docGrid w:linePitch="312" w:charSpace="0"/>
        </w:sectPr>
      </w:pPr>
      <w:r>
        <w:rPr>
          <w:rFonts w:hint="eastAsia" w:asciiTheme="minorEastAsia" w:hAnsiTheme="minorEastAsia" w:eastAsiaTheme="minorEastAsia" w:cstheme="minorEastAsia"/>
          <w:color w:val="auto"/>
          <w:sz w:val="21"/>
          <w:szCs w:val="21"/>
        </w:rPr>
        <w:t>说明：供应商根据本项目情况自行编制服务方案</w:t>
      </w:r>
      <w:r>
        <w:rPr>
          <w:rFonts w:hint="eastAsia" w:asciiTheme="minorEastAsia" w:hAnsiTheme="minorEastAsia" w:eastAsiaTheme="minorEastAsia" w:cstheme="minorEastAsia"/>
          <w:color w:val="auto"/>
          <w:sz w:val="21"/>
          <w:szCs w:val="21"/>
          <w:lang w:val="en-US" w:eastAsia="zh-CN"/>
        </w:rPr>
        <w:t>和服务质量保障方案</w:t>
      </w:r>
    </w:p>
    <w:bookmarkEnd w:id="103"/>
    <w:bookmarkEnd w:id="104"/>
    <w:bookmarkEnd w:id="105"/>
    <w:bookmarkEnd w:id="106"/>
    <w:bookmarkEnd w:id="107"/>
    <w:bookmarkEnd w:id="108"/>
    <w:p w14:paraId="715223EF">
      <w:pP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附件1</w:t>
      </w:r>
      <w:r>
        <w:rPr>
          <w:rFonts w:hint="eastAsia" w:asciiTheme="minorEastAsia" w:hAnsiTheme="minorEastAsia" w:cstheme="minorEastAsia"/>
          <w:color w:val="auto"/>
          <w:szCs w:val="24"/>
          <w:lang w:val="en-US" w:eastAsia="zh-CN"/>
        </w:rPr>
        <w:t>2</w:t>
      </w:r>
      <w:r>
        <w:rPr>
          <w:rFonts w:hint="eastAsia" w:asciiTheme="minorEastAsia" w:hAnsiTheme="minorEastAsia" w:eastAsiaTheme="minorEastAsia" w:cstheme="minorEastAsia"/>
          <w:color w:val="auto"/>
          <w:szCs w:val="24"/>
          <w:lang w:val="en-US" w:eastAsia="zh-CN"/>
        </w:rPr>
        <w:t>：</w:t>
      </w:r>
      <w:r>
        <w:rPr>
          <w:rFonts w:hint="eastAsia" w:asciiTheme="minorEastAsia" w:hAnsiTheme="minorEastAsia" w:eastAsiaTheme="minorEastAsia" w:cstheme="minorEastAsia"/>
          <w:color w:val="auto"/>
          <w:szCs w:val="24"/>
        </w:rPr>
        <w:t>磋商文件要求提供的其他资料</w:t>
      </w:r>
    </w:p>
    <w:p w14:paraId="280A7281">
      <w:pPr>
        <w:rPr>
          <w:rFonts w:hint="eastAsia" w:asciiTheme="minorEastAsia" w:hAnsiTheme="minorEastAsia" w:eastAsiaTheme="minorEastAsia" w:cstheme="minorEastAsia"/>
          <w:color w:val="auto"/>
          <w:szCs w:val="24"/>
        </w:rPr>
      </w:pPr>
    </w:p>
    <w:p w14:paraId="4A993DAE">
      <w:pPr>
        <w:ind w:firstLine="420" w:firstLineChars="200"/>
        <w:rPr>
          <w:rFonts w:hint="eastAsia" w:ascii="方正仿宋_GBK" w:hAnsi="方正仿宋_GBK" w:eastAsia="方正仿宋_GBK" w:cs="方正仿宋_GBK"/>
          <w:color w:val="auto"/>
          <w:sz w:val="30"/>
        </w:rPr>
        <w:sectPr>
          <w:pgSz w:w="11910" w:h="16840"/>
          <w:pgMar w:top="1380" w:right="1520" w:bottom="980" w:left="1540" w:header="0" w:footer="718" w:gutter="0"/>
          <w:pgNumType w:fmt="decimal"/>
          <w:cols w:space="720" w:num="1"/>
        </w:sectPr>
      </w:pPr>
      <w:r>
        <w:rPr>
          <w:rFonts w:hint="eastAsia" w:asciiTheme="minorEastAsia" w:hAnsiTheme="minorEastAsia" w:eastAsiaTheme="minorEastAsia" w:cstheme="minorEastAsia"/>
          <w:color w:val="auto"/>
          <w:szCs w:val="24"/>
        </w:rPr>
        <w:t>凡是在评审因素中要求考察的内容，供应商均须有响应文件中提供详细的材料证明</w:t>
      </w:r>
      <w:r>
        <w:rPr>
          <w:rFonts w:hint="eastAsia" w:asciiTheme="minorEastAsia" w:hAnsiTheme="minorEastAsia" w:eastAsiaTheme="minorEastAsia" w:cstheme="minorEastAsia"/>
          <w:color w:val="auto"/>
        </w:rPr>
        <w:tab/>
      </w:r>
      <w:r>
        <w:rPr>
          <w:rFonts w:hint="eastAsia" w:ascii="方正仿宋_GBK" w:hAnsi="方正仿宋_GBK" w:eastAsia="方正仿宋_GBK" w:cs="方正仿宋_GBK"/>
          <w:color w:val="auto"/>
        </w:rPr>
        <w:tab/>
      </w:r>
      <w:r>
        <w:rPr>
          <w:rFonts w:hint="eastAsia" w:ascii="方正仿宋_GBK" w:hAnsi="方正仿宋_GBK" w:eastAsia="方正仿宋_GBK" w:cs="方正仿宋_GBK"/>
          <w:color w:val="auto"/>
        </w:rPr>
        <w:tab/>
      </w:r>
      <w:r>
        <w:rPr>
          <w:rFonts w:hint="eastAsia" w:ascii="方正仿宋_GBK" w:hAnsi="方正仿宋_GBK" w:eastAsia="方正仿宋_GBK" w:cs="方正仿宋_GBK"/>
          <w:color w:val="auto"/>
        </w:rPr>
        <w:tab/>
      </w:r>
    </w:p>
    <w:p w14:paraId="23A9D96C">
      <w:pPr>
        <w:pStyle w:val="2"/>
        <w:spacing w:line="360" w:lineRule="auto"/>
        <w:jc w:val="center"/>
        <w:rPr>
          <w:rFonts w:hint="eastAsia" w:ascii="方正仿宋_GBK" w:hAnsi="方正仿宋_GBK" w:eastAsia="方正仿宋_GBK" w:cs="方正仿宋_GBK"/>
          <w:bCs/>
          <w:color w:val="auto"/>
          <w:sz w:val="36"/>
          <w:szCs w:val="36"/>
          <w:lang w:eastAsia="zh-CN"/>
        </w:rPr>
      </w:pPr>
      <w:bookmarkStart w:id="119" w:name="_Toc1739720976"/>
      <w:bookmarkStart w:id="120" w:name="_Toc536013382"/>
      <w:bookmarkStart w:id="121" w:name="_Toc104383963"/>
      <w:r>
        <w:rPr>
          <w:rFonts w:hint="eastAsia" w:ascii="方正仿宋_GBK" w:hAnsi="方正仿宋_GBK" w:eastAsia="方正仿宋_GBK" w:cs="方正仿宋_GBK"/>
          <w:bCs/>
          <w:color w:val="auto"/>
          <w:sz w:val="36"/>
          <w:szCs w:val="36"/>
        </w:rPr>
        <w:t>第</w:t>
      </w:r>
      <w:r>
        <w:rPr>
          <w:rFonts w:hint="eastAsia" w:ascii="方正仿宋_GBK" w:hAnsi="方正仿宋_GBK" w:eastAsia="方正仿宋_GBK" w:cs="方正仿宋_GBK"/>
          <w:bCs/>
          <w:color w:val="auto"/>
          <w:sz w:val="36"/>
          <w:szCs w:val="36"/>
          <w:lang w:eastAsia="zh-CN"/>
        </w:rPr>
        <w:t>六</w:t>
      </w:r>
      <w:r>
        <w:rPr>
          <w:rFonts w:hint="eastAsia" w:ascii="方正仿宋_GBK" w:hAnsi="方正仿宋_GBK" w:eastAsia="方正仿宋_GBK" w:cs="方正仿宋_GBK"/>
          <w:bCs/>
          <w:color w:val="auto"/>
          <w:sz w:val="36"/>
          <w:szCs w:val="36"/>
        </w:rPr>
        <w:t>部分  合同文本</w:t>
      </w:r>
      <w:bookmarkEnd w:id="119"/>
      <w:bookmarkEnd w:id="120"/>
      <w:bookmarkEnd w:id="121"/>
    </w:p>
    <w:p w14:paraId="25C19FE3">
      <w:pPr>
        <w:pStyle w:val="14"/>
        <w:ind w:left="0" w:leftChars="0" w:firstLine="42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lang w:eastAsia="zh-CN"/>
        </w:rPr>
        <w:t>本合同由采购人和供应商根据《中华人民共和国民法典》等相关规定，按照采购文件的要求和响应文件的响应科学合理签订。</w:t>
      </w:r>
    </w:p>
    <w:p w14:paraId="1B75D2BD">
      <w:pPr>
        <w:pStyle w:val="14"/>
        <w:ind w:left="0" w:leftChars="0" w:firstLine="640" w:firstLineChars="200"/>
        <w:rPr>
          <w:rFonts w:hint="eastAsia" w:asciiTheme="minorEastAsia" w:hAnsiTheme="minorEastAsia" w:eastAsiaTheme="minorEastAsia" w:cstheme="minorEastAsia"/>
          <w:color w:val="auto"/>
          <w:sz w:val="32"/>
          <w:szCs w:val="32"/>
          <w:lang w:val="en-US" w:eastAsia="zh-CN"/>
        </w:rPr>
      </w:pPr>
    </w:p>
    <w:sectPr>
      <w:headerReference r:id="rId7" w:type="default"/>
      <w:footerReference r:id="rId8"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embedRegular r:id="rId1" w:fontKey="{EFD67034-A5C7-4A17-9F6E-67C581754FAC}"/>
  </w:font>
  <w:font w:name="仿宋_GB2312">
    <w:panose1 w:val="02010609030101010101"/>
    <w:charset w:val="86"/>
    <w:family w:val="modern"/>
    <w:pitch w:val="default"/>
    <w:sig w:usb0="00000001" w:usb1="080E0000" w:usb2="00000000" w:usb3="00000000" w:csb0="00040000" w:csb1="00000000"/>
    <w:embedRegular r:id="rId2" w:fontKey="{BD14A316-1139-40DD-BDD1-A02BD5511338}"/>
  </w:font>
  <w:font w:name="方正小标宋简体">
    <w:panose1 w:val="02000000000000000000"/>
    <w:charset w:val="86"/>
    <w:family w:val="auto"/>
    <w:pitch w:val="default"/>
    <w:sig w:usb0="00000001" w:usb1="08000000" w:usb2="00000000" w:usb3="00000000" w:csb0="00040000" w:csb1="00000000"/>
    <w:embedRegular r:id="rId3" w:fontKey="{9310154B-5CEC-41C5-BA9A-51F42D8F8B0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3090">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3F25B">
                          <w:pPr>
                            <w:pStyle w:val="1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D3F25B">
                    <w:pPr>
                      <w:pStyle w:val="1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F6149">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7FED6">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44</w:t>
                          </w:r>
                          <w:r>
                            <w:rPr>
                              <w:sz w:val="21"/>
                              <w:szCs w:val="21"/>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D7FED6">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44</w:t>
                    </w:r>
                    <w:r>
                      <w:rPr>
                        <w:sz w:val="21"/>
                        <w:szCs w:val="21"/>
                        <w:lang w:val="zh-CN"/>
                      </w:rPr>
                      <w:fldChar w:fldCharType="end"/>
                    </w:r>
                  </w:p>
                </w:txbxContent>
              </v:textbox>
            </v:shape>
          </w:pict>
        </mc:Fallback>
      </mc:AlternateContent>
    </w:r>
  </w:p>
  <w:p w14:paraId="72B8149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1F7E3">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D336C">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1D336C">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33ACA">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C7E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823A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YzQ1MWUzMThmNzIyMGIzNjhhODM2YTM5MzIzMzMifQ=="/>
  </w:docVars>
  <w:rsids>
    <w:rsidRoot w:val="3C507744"/>
    <w:rsid w:val="00443504"/>
    <w:rsid w:val="004E7F07"/>
    <w:rsid w:val="005B7FE4"/>
    <w:rsid w:val="005D0581"/>
    <w:rsid w:val="00BE186D"/>
    <w:rsid w:val="01441010"/>
    <w:rsid w:val="016519C1"/>
    <w:rsid w:val="01AD0391"/>
    <w:rsid w:val="01C2043A"/>
    <w:rsid w:val="01CB31EF"/>
    <w:rsid w:val="01E23011"/>
    <w:rsid w:val="01E46D89"/>
    <w:rsid w:val="026B1259"/>
    <w:rsid w:val="027C0A5F"/>
    <w:rsid w:val="02C468EE"/>
    <w:rsid w:val="02D74B40"/>
    <w:rsid w:val="02ED6112"/>
    <w:rsid w:val="03076A5B"/>
    <w:rsid w:val="03256924"/>
    <w:rsid w:val="0337392A"/>
    <w:rsid w:val="034D687F"/>
    <w:rsid w:val="03991DF6"/>
    <w:rsid w:val="03F60FF6"/>
    <w:rsid w:val="03FE0872"/>
    <w:rsid w:val="04295937"/>
    <w:rsid w:val="045236D4"/>
    <w:rsid w:val="046046C1"/>
    <w:rsid w:val="047C774D"/>
    <w:rsid w:val="05B96490"/>
    <w:rsid w:val="05D622C8"/>
    <w:rsid w:val="05E94A4F"/>
    <w:rsid w:val="05EE31EE"/>
    <w:rsid w:val="06021ED4"/>
    <w:rsid w:val="061340E1"/>
    <w:rsid w:val="06634829"/>
    <w:rsid w:val="06775313"/>
    <w:rsid w:val="06935222"/>
    <w:rsid w:val="06D03D80"/>
    <w:rsid w:val="070B4FBF"/>
    <w:rsid w:val="079E79DA"/>
    <w:rsid w:val="07A83171"/>
    <w:rsid w:val="07B0770E"/>
    <w:rsid w:val="07E72B7B"/>
    <w:rsid w:val="08233AD8"/>
    <w:rsid w:val="08C16076"/>
    <w:rsid w:val="09900005"/>
    <w:rsid w:val="0A2543E3"/>
    <w:rsid w:val="0A2A19F9"/>
    <w:rsid w:val="0B1306DF"/>
    <w:rsid w:val="0B1E62F2"/>
    <w:rsid w:val="0B232A8B"/>
    <w:rsid w:val="0B754EF6"/>
    <w:rsid w:val="0BA06587"/>
    <w:rsid w:val="0BEE7CFD"/>
    <w:rsid w:val="0C162911"/>
    <w:rsid w:val="0C572AED"/>
    <w:rsid w:val="0C673A60"/>
    <w:rsid w:val="0C907B67"/>
    <w:rsid w:val="0D013738"/>
    <w:rsid w:val="0D9D24E2"/>
    <w:rsid w:val="0E520269"/>
    <w:rsid w:val="0F8E2425"/>
    <w:rsid w:val="0FBE2B5A"/>
    <w:rsid w:val="0FE16042"/>
    <w:rsid w:val="10A047C3"/>
    <w:rsid w:val="10B65D95"/>
    <w:rsid w:val="10CC5930"/>
    <w:rsid w:val="10D66437"/>
    <w:rsid w:val="10F44B0F"/>
    <w:rsid w:val="110F7B9B"/>
    <w:rsid w:val="1131366D"/>
    <w:rsid w:val="113849FC"/>
    <w:rsid w:val="11BE3980"/>
    <w:rsid w:val="11FC7D03"/>
    <w:rsid w:val="12778B4C"/>
    <w:rsid w:val="12BA7A15"/>
    <w:rsid w:val="12ED6598"/>
    <w:rsid w:val="13385187"/>
    <w:rsid w:val="13B5412C"/>
    <w:rsid w:val="141B6690"/>
    <w:rsid w:val="143162C0"/>
    <w:rsid w:val="14587163"/>
    <w:rsid w:val="14AB2894"/>
    <w:rsid w:val="15037617"/>
    <w:rsid w:val="1515472D"/>
    <w:rsid w:val="152B2749"/>
    <w:rsid w:val="154E789E"/>
    <w:rsid w:val="156F0F5C"/>
    <w:rsid w:val="1571672E"/>
    <w:rsid w:val="15742F52"/>
    <w:rsid w:val="161517A8"/>
    <w:rsid w:val="163031B9"/>
    <w:rsid w:val="163575FC"/>
    <w:rsid w:val="165D6FF3"/>
    <w:rsid w:val="16B742AC"/>
    <w:rsid w:val="16F70EB5"/>
    <w:rsid w:val="17D216FF"/>
    <w:rsid w:val="1844012A"/>
    <w:rsid w:val="185540E5"/>
    <w:rsid w:val="18AB01A9"/>
    <w:rsid w:val="18C46686"/>
    <w:rsid w:val="191404B0"/>
    <w:rsid w:val="1A6D39F2"/>
    <w:rsid w:val="1A7016AA"/>
    <w:rsid w:val="1A974E89"/>
    <w:rsid w:val="1B3B6925"/>
    <w:rsid w:val="1B584AFA"/>
    <w:rsid w:val="1B636B19"/>
    <w:rsid w:val="1BDD0049"/>
    <w:rsid w:val="1BF5950E"/>
    <w:rsid w:val="1BFE2CE6"/>
    <w:rsid w:val="1C1D46ED"/>
    <w:rsid w:val="1CFF022B"/>
    <w:rsid w:val="1D1775D2"/>
    <w:rsid w:val="1DCF1D91"/>
    <w:rsid w:val="1E147A64"/>
    <w:rsid w:val="1E4470D6"/>
    <w:rsid w:val="1F4C3407"/>
    <w:rsid w:val="20241259"/>
    <w:rsid w:val="209459C7"/>
    <w:rsid w:val="20C64363"/>
    <w:rsid w:val="20C81854"/>
    <w:rsid w:val="20FF1092"/>
    <w:rsid w:val="212F02A0"/>
    <w:rsid w:val="213043B9"/>
    <w:rsid w:val="214E2A82"/>
    <w:rsid w:val="217A5B78"/>
    <w:rsid w:val="21F03000"/>
    <w:rsid w:val="222D1C2F"/>
    <w:rsid w:val="22955FD0"/>
    <w:rsid w:val="229861DF"/>
    <w:rsid w:val="23556ABB"/>
    <w:rsid w:val="239C7B2F"/>
    <w:rsid w:val="23A26154"/>
    <w:rsid w:val="24062738"/>
    <w:rsid w:val="24280900"/>
    <w:rsid w:val="24635DDC"/>
    <w:rsid w:val="246F7EBD"/>
    <w:rsid w:val="248C5333"/>
    <w:rsid w:val="248D7F1D"/>
    <w:rsid w:val="25CB7BB8"/>
    <w:rsid w:val="261F21D6"/>
    <w:rsid w:val="265728A3"/>
    <w:rsid w:val="26E01966"/>
    <w:rsid w:val="27161854"/>
    <w:rsid w:val="27433CA3"/>
    <w:rsid w:val="28441A80"/>
    <w:rsid w:val="28B47C37"/>
    <w:rsid w:val="2912392D"/>
    <w:rsid w:val="29752839"/>
    <w:rsid w:val="299B1B74"/>
    <w:rsid w:val="29BD5CF8"/>
    <w:rsid w:val="29BE381B"/>
    <w:rsid w:val="29C410CB"/>
    <w:rsid w:val="2A1A66DA"/>
    <w:rsid w:val="2A614B6C"/>
    <w:rsid w:val="2A716B0E"/>
    <w:rsid w:val="2A7D74CC"/>
    <w:rsid w:val="2BFB672A"/>
    <w:rsid w:val="2C26606D"/>
    <w:rsid w:val="2D2D4FF6"/>
    <w:rsid w:val="2E79FD1A"/>
    <w:rsid w:val="2EA17C2D"/>
    <w:rsid w:val="30305B1B"/>
    <w:rsid w:val="31172428"/>
    <w:rsid w:val="31205AFD"/>
    <w:rsid w:val="31713BFC"/>
    <w:rsid w:val="31C634C4"/>
    <w:rsid w:val="31DFD20C"/>
    <w:rsid w:val="32427031"/>
    <w:rsid w:val="32522560"/>
    <w:rsid w:val="33195347"/>
    <w:rsid w:val="33321AEA"/>
    <w:rsid w:val="33AB6E58"/>
    <w:rsid w:val="33B65F28"/>
    <w:rsid w:val="342B1D46"/>
    <w:rsid w:val="346827B0"/>
    <w:rsid w:val="34D91EB2"/>
    <w:rsid w:val="35223149"/>
    <w:rsid w:val="3577196B"/>
    <w:rsid w:val="358E6A31"/>
    <w:rsid w:val="35B631B1"/>
    <w:rsid w:val="35C90228"/>
    <w:rsid w:val="369052FC"/>
    <w:rsid w:val="369E0EF6"/>
    <w:rsid w:val="36B97ADD"/>
    <w:rsid w:val="371E7D9A"/>
    <w:rsid w:val="373C0EB1"/>
    <w:rsid w:val="373E2B94"/>
    <w:rsid w:val="377F25FF"/>
    <w:rsid w:val="37936580"/>
    <w:rsid w:val="37F7B90A"/>
    <w:rsid w:val="381A3FCE"/>
    <w:rsid w:val="389F7C3A"/>
    <w:rsid w:val="38E52E0C"/>
    <w:rsid w:val="39472A25"/>
    <w:rsid w:val="395D4BD0"/>
    <w:rsid w:val="39DC7D50"/>
    <w:rsid w:val="3A233BEC"/>
    <w:rsid w:val="3ADF456C"/>
    <w:rsid w:val="3B1C5AB0"/>
    <w:rsid w:val="3B255741"/>
    <w:rsid w:val="3BF9D065"/>
    <w:rsid w:val="3C507744"/>
    <w:rsid w:val="3C8D359E"/>
    <w:rsid w:val="3DE66E9A"/>
    <w:rsid w:val="3E265A58"/>
    <w:rsid w:val="3E7F851A"/>
    <w:rsid w:val="3EB75510"/>
    <w:rsid w:val="3EC3774B"/>
    <w:rsid w:val="3ECBD30B"/>
    <w:rsid w:val="3EE14075"/>
    <w:rsid w:val="3F5E3F85"/>
    <w:rsid w:val="3FFF1AD2"/>
    <w:rsid w:val="404929F5"/>
    <w:rsid w:val="40F3190F"/>
    <w:rsid w:val="410B5F77"/>
    <w:rsid w:val="411F4B7D"/>
    <w:rsid w:val="417E7403"/>
    <w:rsid w:val="42207469"/>
    <w:rsid w:val="42254279"/>
    <w:rsid w:val="42366028"/>
    <w:rsid w:val="42B4087C"/>
    <w:rsid w:val="42E87780"/>
    <w:rsid w:val="4389507A"/>
    <w:rsid w:val="441F11A3"/>
    <w:rsid w:val="44234BC1"/>
    <w:rsid w:val="449E2BA8"/>
    <w:rsid w:val="44E126D9"/>
    <w:rsid w:val="454113CA"/>
    <w:rsid w:val="45505AB1"/>
    <w:rsid w:val="45F54CC8"/>
    <w:rsid w:val="4688415A"/>
    <w:rsid w:val="46E7432D"/>
    <w:rsid w:val="474E19A7"/>
    <w:rsid w:val="47B448F0"/>
    <w:rsid w:val="47C65E45"/>
    <w:rsid w:val="48C65C37"/>
    <w:rsid w:val="48F347CA"/>
    <w:rsid w:val="4A730277"/>
    <w:rsid w:val="4A7F3810"/>
    <w:rsid w:val="4A8A611D"/>
    <w:rsid w:val="4AC07235"/>
    <w:rsid w:val="4B1752C4"/>
    <w:rsid w:val="4BB722DF"/>
    <w:rsid w:val="4BBA1ED6"/>
    <w:rsid w:val="4C39104D"/>
    <w:rsid w:val="4C4466BE"/>
    <w:rsid w:val="4C6550EF"/>
    <w:rsid w:val="4C7B78B7"/>
    <w:rsid w:val="4CC90623"/>
    <w:rsid w:val="4DB91DA9"/>
    <w:rsid w:val="4E172130"/>
    <w:rsid w:val="4F451B8F"/>
    <w:rsid w:val="4F5C3D9F"/>
    <w:rsid w:val="4F895464"/>
    <w:rsid w:val="4F9340C4"/>
    <w:rsid w:val="4FCF4491"/>
    <w:rsid w:val="50047366"/>
    <w:rsid w:val="50151DD1"/>
    <w:rsid w:val="505E5526"/>
    <w:rsid w:val="51293EE2"/>
    <w:rsid w:val="514579A9"/>
    <w:rsid w:val="515A3F3F"/>
    <w:rsid w:val="51A97C64"/>
    <w:rsid w:val="5224647B"/>
    <w:rsid w:val="5268077D"/>
    <w:rsid w:val="52895574"/>
    <w:rsid w:val="52DD22FC"/>
    <w:rsid w:val="52E351D4"/>
    <w:rsid w:val="52F97788"/>
    <w:rsid w:val="530971A6"/>
    <w:rsid w:val="536F17F8"/>
    <w:rsid w:val="537137C2"/>
    <w:rsid w:val="53756B51"/>
    <w:rsid w:val="539E51E5"/>
    <w:rsid w:val="539F032F"/>
    <w:rsid w:val="54397953"/>
    <w:rsid w:val="545A24A8"/>
    <w:rsid w:val="546377D4"/>
    <w:rsid w:val="54B11F3B"/>
    <w:rsid w:val="54B22CCC"/>
    <w:rsid w:val="54FA5134"/>
    <w:rsid w:val="55220A88"/>
    <w:rsid w:val="554967A4"/>
    <w:rsid w:val="555E31A6"/>
    <w:rsid w:val="562B5F30"/>
    <w:rsid w:val="56356D29"/>
    <w:rsid w:val="5677384C"/>
    <w:rsid w:val="56A812A9"/>
    <w:rsid w:val="56A86F71"/>
    <w:rsid w:val="570F0D7E"/>
    <w:rsid w:val="57253417"/>
    <w:rsid w:val="57660C3D"/>
    <w:rsid w:val="57A035E1"/>
    <w:rsid w:val="57FD056A"/>
    <w:rsid w:val="580B416D"/>
    <w:rsid w:val="58302F61"/>
    <w:rsid w:val="584F602C"/>
    <w:rsid w:val="58BB1E3B"/>
    <w:rsid w:val="58E97E5A"/>
    <w:rsid w:val="59666CD9"/>
    <w:rsid w:val="59D40607"/>
    <w:rsid w:val="59F91149"/>
    <w:rsid w:val="5A5F5124"/>
    <w:rsid w:val="5A713592"/>
    <w:rsid w:val="5A983305"/>
    <w:rsid w:val="5A9C3451"/>
    <w:rsid w:val="5AEE04EF"/>
    <w:rsid w:val="5B320728"/>
    <w:rsid w:val="5BB406F0"/>
    <w:rsid w:val="5BB66640"/>
    <w:rsid w:val="5BBA54B7"/>
    <w:rsid w:val="5C1475D9"/>
    <w:rsid w:val="5CA70FFE"/>
    <w:rsid w:val="5D7064D6"/>
    <w:rsid w:val="5E8C5954"/>
    <w:rsid w:val="5EC401E1"/>
    <w:rsid w:val="5FBBCD41"/>
    <w:rsid w:val="5FD17AC2"/>
    <w:rsid w:val="5FD52DC5"/>
    <w:rsid w:val="60442ADA"/>
    <w:rsid w:val="604557BF"/>
    <w:rsid w:val="605C097D"/>
    <w:rsid w:val="61554B37"/>
    <w:rsid w:val="6231786C"/>
    <w:rsid w:val="62862181"/>
    <w:rsid w:val="63273969"/>
    <w:rsid w:val="6374062F"/>
    <w:rsid w:val="63F41FD1"/>
    <w:rsid w:val="64B3268B"/>
    <w:rsid w:val="655942C8"/>
    <w:rsid w:val="66890C40"/>
    <w:rsid w:val="66A016B9"/>
    <w:rsid w:val="66AA2158"/>
    <w:rsid w:val="66F145A6"/>
    <w:rsid w:val="66F80256"/>
    <w:rsid w:val="66FE0852"/>
    <w:rsid w:val="67852DAB"/>
    <w:rsid w:val="67A242E1"/>
    <w:rsid w:val="67A24D66"/>
    <w:rsid w:val="67D5211A"/>
    <w:rsid w:val="68275327"/>
    <w:rsid w:val="683706DE"/>
    <w:rsid w:val="683967C4"/>
    <w:rsid w:val="68573B99"/>
    <w:rsid w:val="68813EC0"/>
    <w:rsid w:val="688F2247"/>
    <w:rsid w:val="69437350"/>
    <w:rsid w:val="699F77A8"/>
    <w:rsid w:val="69A973BA"/>
    <w:rsid w:val="69E2467A"/>
    <w:rsid w:val="69F951FB"/>
    <w:rsid w:val="6A236A13"/>
    <w:rsid w:val="6A2D62D3"/>
    <w:rsid w:val="6A8F501B"/>
    <w:rsid w:val="6A9B2E65"/>
    <w:rsid w:val="6A9E67F3"/>
    <w:rsid w:val="6B735ED1"/>
    <w:rsid w:val="6B825B73"/>
    <w:rsid w:val="6BB34520"/>
    <w:rsid w:val="6BBA79D4"/>
    <w:rsid w:val="6BBF2EC5"/>
    <w:rsid w:val="6BD32468"/>
    <w:rsid w:val="6BEC52BF"/>
    <w:rsid w:val="6BF07A59"/>
    <w:rsid w:val="6C0D5B2F"/>
    <w:rsid w:val="6C2D5CDD"/>
    <w:rsid w:val="6D7B2CEE"/>
    <w:rsid w:val="6DB602F7"/>
    <w:rsid w:val="6EAF6748"/>
    <w:rsid w:val="6EFDBE7A"/>
    <w:rsid w:val="6F50649F"/>
    <w:rsid w:val="6F6A26B9"/>
    <w:rsid w:val="6F7F4E81"/>
    <w:rsid w:val="6F9E2423"/>
    <w:rsid w:val="6FA05DD8"/>
    <w:rsid w:val="6FA06290"/>
    <w:rsid w:val="6FAF4FFE"/>
    <w:rsid w:val="6FD061D3"/>
    <w:rsid w:val="70A51C56"/>
    <w:rsid w:val="70C84F08"/>
    <w:rsid w:val="70E765F0"/>
    <w:rsid w:val="71307182"/>
    <w:rsid w:val="717B7C74"/>
    <w:rsid w:val="718E02E8"/>
    <w:rsid w:val="71ABA236"/>
    <w:rsid w:val="724F4877"/>
    <w:rsid w:val="72887472"/>
    <w:rsid w:val="73171590"/>
    <w:rsid w:val="731A30D6"/>
    <w:rsid w:val="7377C4C0"/>
    <w:rsid w:val="738F115A"/>
    <w:rsid w:val="73F5552D"/>
    <w:rsid w:val="73F7BCD4"/>
    <w:rsid w:val="742D5830"/>
    <w:rsid w:val="74A4534E"/>
    <w:rsid w:val="752C0E9F"/>
    <w:rsid w:val="759F78C3"/>
    <w:rsid w:val="75A5137D"/>
    <w:rsid w:val="75C54D56"/>
    <w:rsid w:val="76284858"/>
    <w:rsid w:val="769136B0"/>
    <w:rsid w:val="76CE0460"/>
    <w:rsid w:val="77702ECA"/>
    <w:rsid w:val="77702FA7"/>
    <w:rsid w:val="777F00FB"/>
    <w:rsid w:val="791B3704"/>
    <w:rsid w:val="79661DBB"/>
    <w:rsid w:val="798E2128"/>
    <w:rsid w:val="7A081EDB"/>
    <w:rsid w:val="7ADF33FE"/>
    <w:rsid w:val="7AE2056F"/>
    <w:rsid w:val="7B280D45"/>
    <w:rsid w:val="7B5A6ED1"/>
    <w:rsid w:val="7B8C08E9"/>
    <w:rsid w:val="7B97251D"/>
    <w:rsid w:val="7BC2255D"/>
    <w:rsid w:val="7C29438A"/>
    <w:rsid w:val="7C6A0A0D"/>
    <w:rsid w:val="7CA3413D"/>
    <w:rsid w:val="7CBC7408"/>
    <w:rsid w:val="7D366D5F"/>
    <w:rsid w:val="7D593B7E"/>
    <w:rsid w:val="7DA379AE"/>
    <w:rsid w:val="7E094473"/>
    <w:rsid w:val="7E843AFA"/>
    <w:rsid w:val="7E9A092C"/>
    <w:rsid w:val="7E9C8769"/>
    <w:rsid w:val="7EA03FAB"/>
    <w:rsid w:val="7ECB797B"/>
    <w:rsid w:val="7EFEF6CC"/>
    <w:rsid w:val="7F19CA1E"/>
    <w:rsid w:val="7F715F0C"/>
    <w:rsid w:val="7F895F09"/>
    <w:rsid w:val="7FBD5515"/>
    <w:rsid w:val="7FBFFAD7"/>
    <w:rsid w:val="7FE762FF"/>
    <w:rsid w:val="7FF38BA9"/>
    <w:rsid w:val="9FBFF711"/>
    <w:rsid w:val="AE9C5CE9"/>
    <w:rsid w:val="BB9F455C"/>
    <w:rsid w:val="BBFF9B69"/>
    <w:rsid w:val="BDBDA2B2"/>
    <w:rsid w:val="BDF7DAB3"/>
    <w:rsid w:val="BECC39E5"/>
    <w:rsid w:val="BF4F069A"/>
    <w:rsid w:val="BF63A2EF"/>
    <w:rsid w:val="C7F4D1FB"/>
    <w:rsid w:val="D55741E5"/>
    <w:rsid w:val="D7FF4407"/>
    <w:rsid w:val="DEF95AD6"/>
    <w:rsid w:val="DF77BA62"/>
    <w:rsid w:val="DF7F4D84"/>
    <w:rsid w:val="E675E0C2"/>
    <w:rsid w:val="ED6BBBE2"/>
    <w:rsid w:val="EF563162"/>
    <w:rsid w:val="EFED3B7C"/>
    <w:rsid w:val="F54EC950"/>
    <w:rsid w:val="F73F9683"/>
    <w:rsid w:val="F7AF3A57"/>
    <w:rsid w:val="F8FE670E"/>
    <w:rsid w:val="F9275B61"/>
    <w:rsid w:val="F9BE9012"/>
    <w:rsid w:val="F9FA3137"/>
    <w:rsid w:val="FB77C603"/>
    <w:rsid w:val="FBFACCEA"/>
    <w:rsid w:val="FCFF275A"/>
    <w:rsid w:val="FDFDB48C"/>
    <w:rsid w:val="FE3F12B6"/>
    <w:rsid w:val="FECDC792"/>
    <w:rsid w:val="FFBDBD85"/>
    <w:rsid w:val="FFF74E77"/>
    <w:rsid w:val="FFFEC71F"/>
    <w:rsid w:val="FFFF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cs="Century"/>
      <w:b/>
      <w:kern w:val="44"/>
      <w:sz w:val="32"/>
    </w:rPr>
  </w:style>
  <w:style w:type="paragraph" w:styleId="3">
    <w:name w:val="heading 2"/>
    <w:basedOn w:val="1"/>
    <w:next w:val="1"/>
    <w:qFormat/>
    <w:uiPriority w:val="0"/>
    <w:pPr>
      <w:keepNext/>
      <w:keepLines/>
      <w:spacing w:before="260" w:after="260" w:line="500" w:lineRule="exact"/>
      <w:outlineLvl w:val="1"/>
    </w:pPr>
    <w:rPr>
      <w:rFonts w:ascii="Helv" w:hAnsi="Helv" w:eastAsia="Calibri" w:cs="Century"/>
      <w:b/>
      <w:sz w:val="28"/>
    </w:rPr>
  </w:style>
  <w:style w:type="paragraph" w:styleId="4">
    <w:name w:val="heading 3"/>
    <w:basedOn w:val="1"/>
    <w:next w:val="1"/>
    <w:qFormat/>
    <w:uiPriority w:val="0"/>
    <w:pPr>
      <w:keepNext/>
      <w:keepLines/>
      <w:spacing w:before="260" w:after="260" w:line="413" w:lineRule="auto"/>
      <w:outlineLvl w:val="2"/>
    </w:pPr>
    <w:rPr>
      <w:rFonts w:cs="Century"/>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rPr>
      <w:rFonts w:ascii="@华文新魏" w:hAnsi="@华文新魏" w:cs="Century"/>
      <w:sz w:val="21"/>
      <w:szCs w:val="22"/>
    </w:rPr>
  </w:style>
  <w:style w:type="paragraph" w:styleId="6">
    <w:name w:val="Body Text"/>
    <w:basedOn w:val="1"/>
    <w:qFormat/>
    <w:uiPriority w:val="0"/>
    <w:pPr>
      <w:spacing w:after="120"/>
    </w:pPr>
    <w:rPr>
      <w:rFonts w:cs="Century"/>
      <w:sz w:val="21"/>
    </w:rPr>
  </w:style>
  <w:style w:type="paragraph" w:styleId="7">
    <w:name w:val="Body Text Indent"/>
    <w:basedOn w:val="1"/>
    <w:qFormat/>
    <w:uiPriority w:val="0"/>
    <w:pPr>
      <w:ind w:firstLine="630"/>
    </w:pPr>
    <w:rPr>
      <w:rFonts w:cs="Century"/>
      <w:sz w:val="32"/>
    </w:rPr>
  </w:style>
  <w:style w:type="paragraph" w:styleId="8">
    <w:name w:val="Block Text"/>
    <w:basedOn w:val="1"/>
    <w:qFormat/>
    <w:uiPriority w:val="0"/>
    <w:pPr>
      <w:jc w:val="left"/>
    </w:pPr>
    <w:rPr>
      <w:szCs w:val="22"/>
    </w:rPr>
  </w:style>
  <w:style w:type="paragraph" w:styleId="9">
    <w:name w:val="Plain Text"/>
    <w:basedOn w:val="1"/>
    <w:qFormat/>
    <w:uiPriority w:val="0"/>
    <w:rPr>
      <w:rFonts w:ascii="仿宋" w:hAnsi="Wingdings" w:cs="Century"/>
      <w:sz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autoSpaceDE w:val="0"/>
      <w:autoSpaceDN w:val="0"/>
      <w:spacing w:before="289"/>
      <w:ind w:left="191"/>
      <w:jc w:val="left"/>
    </w:pPr>
    <w:rPr>
      <w:rFonts w:ascii="仿宋" w:hAnsi="仿宋" w:cs="仿宋"/>
      <w:kern w:val="0"/>
      <w:szCs w:val="24"/>
      <w:lang w:eastAsia="en-US"/>
    </w:rPr>
  </w:style>
  <w:style w:type="paragraph" w:styleId="13">
    <w:name w:val="Normal (Web)"/>
    <w:basedOn w:val="1"/>
    <w:qFormat/>
    <w:uiPriority w:val="0"/>
    <w:pPr>
      <w:widowControl/>
      <w:spacing w:before="100" w:beforeAutospacing="1" w:after="100" w:afterAutospacing="1"/>
      <w:jc w:val="left"/>
    </w:pPr>
    <w:rPr>
      <w:rFonts w:ascii="仿宋" w:hAnsi="仿宋"/>
      <w:kern w:val="0"/>
      <w:sz w:val="18"/>
    </w:rPr>
  </w:style>
  <w:style w:type="paragraph" w:styleId="14">
    <w:name w:val="Body Text First Indent 2"/>
    <w:basedOn w:val="7"/>
    <w:unhideWhenUsed/>
    <w:qFormat/>
    <w:uiPriority w:val="99"/>
    <w:pPr>
      <w:spacing w:after="120"/>
      <w:ind w:left="420" w:leftChars="200" w:firstLine="420" w:firstLineChars="200"/>
    </w:pPr>
    <w:rPr>
      <w:rFonts w:ascii="Century" w:hAnsi="Century" w:eastAsia="Arial"/>
      <w:sz w:val="21"/>
      <w:szCs w:val="24"/>
    </w:rPr>
  </w:style>
  <w:style w:type="character" w:styleId="17">
    <w:name w:val="Strong"/>
    <w:basedOn w:val="16"/>
    <w:qFormat/>
    <w:uiPriority w:val="0"/>
    <w:rPr>
      <w:b/>
    </w:rPr>
  </w:style>
  <w:style w:type="character" w:styleId="18">
    <w:name w:val="Hyperlink"/>
    <w:qFormat/>
    <w:uiPriority w:val="99"/>
    <w:rPr>
      <w:color w:val="0000FF"/>
      <w:u w:val="single"/>
    </w:rPr>
  </w:style>
  <w:style w:type="paragraph" w:customStyle="1" w:styleId="19">
    <w:name w:val="样式4"/>
    <w:basedOn w:val="1"/>
    <w:qFormat/>
    <w:uiPriority w:val="0"/>
    <w:pPr>
      <w:ind w:firstLine="480" w:firstLineChars="200"/>
    </w:pPr>
    <w:rPr>
      <w:rFonts w:eastAsia="宋体"/>
      <w:color w:val="000000"/>
      <w:kern w:val="0"/>
    </w:rPr>
  </w:style>
  <w:style w:type="character" w:customStyle="1" w:styleId="20">
    <w:name w:val="fontstyle01"/>
    <w:basedOn w:val="16"/>
    <w:qFormat/>
    <w:uiPriority w:val="0"/>
    <w:rPr>
      <w:rFonts w:hint="eastAsia" w:ascii="宋体" w:hAnsi="宋体" w:eastAsia="宋体" w:cs="宋体"/>
      <w:color w:val="000000"/>
      <w:sz w:val="24"/>
      <w:szCs w:val="24"/>
    </w:rPr>
  </w:style>
  <w:style w:type="paragraph" w:customStyle="1" w:styleId="21">
    <w:name w:val="正文首行缩进两字符"/>
    <w:basedOn w:val="1"/>
    <w:qFormat/>
    <w:uiPriority w:val="0"/>
    <w:pPr>
      <w:spacing w:line="360" w:lineRule="auto"/>
      <w:ind w:firstLine="200" w:firstLineChars="200"/>
    </w:pPr>
  </w:style>
  <w:style w:type="paragraph" w:styleId="22">
    <w:name w:val="List Paragraph"/>
    <w:basedOn w:val="1"/>
    <w:qFormat/>
    <w:uiPriority w:val="34"/>
    <w:pPr>
      <w:autoSpaceDE w:val="0"/>
      <w:autoSpaceDN w:val="0"/>
      <w:spacing w:before="152"/>
      <w:ind w:left="104" w:firstLine="480"/>
      <w:jc w:val="left"/>
    </w:pPr>
    <w:rPr>
      <w:rFonts w:ascii="仿宋" w:hAnsi="仿宋" w:cs="仿宋"/>
      <w:kern w:val="0"/>
      <w:sz w:val="22"/>
      <w:szCs w:val="22"/>
      <w:lang w:eastAsia="en-US"/>
    </w:rPr>
  </w:style>
  <w:style w:type="paragraph" w:customStyle="1" w:styleId="23">
    <w:name w:val="标书正文格式"/>
    <w:qFormat/>
    <w:uiPriority w:val="0"/>
    <w:pPr>
      <w:spacing w:line="360" w:lineRule="auto"/>
      <w:ind w:firstLine="200" w:firstLineChars="200"/>
    </w:pPr>
    <w:rPr>
      <w:rFonts w:ascii="华文新魏" w:hAnsi="华文新魏" w:eastAsia="Tahoma" w:cs="华文新魏"/>
      <w:kern w:val="2"/>
      <w:sz w:val="24"/>
      <w:lang w:val="en-US" w:eastAsia="zh-CN" w:bidi="ar-SA"/>
    </w:rPr>
  </w:style>
  <w:style w:type="paragraph" w:customStyle="1" w:styleId="24">
    <w:name w:val="Table Paragraph"/>
    <w:basedOn w:val="1"/>
    <w:qFormat/>
    <w:uiPriority w:val="1"/>
    <w:pPr>
      <w:autoSpaceDE w:val="0"/>
      <w:autoSpaceDN w:val="0"/>
      <w:jc w:val="left"/>
    </w:pPr>
    <w:rPr>
      <w:rFonts w:ascii="仿宋" w:hAnsi="仿宋" w:cs="仿宋"/>
      <w:kern w:val="0"/>
      <w:sz w:val="22"/>
      <w:szCs w:val="22"/>
      <w:lang w:eastAsia="en-US"/>
    </w:rPr>
  </w:style>
  <w:style w:type="paragraph" w:customStyle="1" w:styleId="25">
    <w:name w:val="样式5"/>
    <w:basedOn w:val="19"/>
    <w:qFormat/>
    <w:uiPriority w:val="0"/>
    <w:pPr>
      <w:ind w:firstLine="0" w:firstLineChars="0"/>
      <w:jc w:val="center"/>
    </w:pPr>
    <w:rPr>
      <w:rFonts w:eastAsia="黑体"/>
    </w:rPr>
  </w:style>
  <w:style w:type="paragraph" w:customStyle="1" w:styleId="26">
    <w:name w:val="样式38"/>
    <w:basedOn w:val="4"/>
    <w:qFormat/>
    <w:uiPriority w:val="0"/>
    <w:pPr>
      <w:numPr>
        <w:ilvl w:val="2"/>
        <w:numId w:val="0"/>
      </w:numPr>
    </w:pPr>
  </w:style>
  <w:style w:type="paragraph" w:customStyle="1" w:styleId="2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10695</Words>
  <Characters>11182</Characters>
  <Lines>0</Lines>
  <Paragraphs>0</Paragraphs>
  <TotalTime>40</TotalTime>
  <ScaleCrop>false</ScaleCrop>
  <LinksUpToDate>false</LinksUpToDate>
  <CharactersWithSpaces>11440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2022-03-31T10:21:00Z</dcterms:created>
  <dc:creator>lenovo</dc:creator>
  <cp:lastModifiedBy>与时间同在</cp:lastModifiedBy>
  <cp:lastPrinted>2025-02-18T03:07:00Z</cp:lastPrinted>
  <dcterms:modified xsi:type="dcterms:W3CDTF">2025-04-01T02:53:47Z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AB96712C16FF4C9CAEE5AA231A00648B_13</vt:lpwstr>
  </property>
  <property fmtid="{D5CDD505-2E9C-101B-9397-08002B2CF9AE}" pid="4" name="KSOTemplateDocerSaveRecord">
    <vt:lpwstr>eyJoZGlkIjoiZTY2NjQ2ZGEzOTVkYzNmMGE4Yjk1MTI5NzJhZjZjNDIiLCJ1c2VySWQiOiIxMjg4MTI2NzU5In0=</vt:lpwstr>
  </property>
</Properties>
</file>