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793"/>
        <w:gridCol w:w="577"/>
        <w:gridCol w:w="851"/>
        <w:gridCol w:w="472"/>
        <w:gridCol w:w="567"/>
        <w:gridCol w:w="1417"/>
        <w:gridCol w:w="709"/>
        <w:gridCol w:w="378"/>
        <w:gridCol w:w="1465"/>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693" w:hRule="atLeast"/>
          <w:jc w:val="center"/>
        </w:trPr>
        <w:tc>
          <w:tcPr>
            <w:tcW w:w="581"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93"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9" w:hRule="atLeast"/>
          <w:jc w:val="center"/>
        </w:trPr>
        <w:tc>
          <w:tcPr>
            <w:tcW w:w="581" w:type="dxa"/>
            <w:tcBorders>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1</w:t>
            </w:r>
          </w:p>
        </w:tc>
        <w:tc>
          <w:tcPr>
            <w:tcW w:w="793"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万源市水务局</w:t>
            </w:r>
          </w:p>
          <w:p>
            <w:pPr>
              <w:jc w:val="center"/>
              <w:rPr>
                <w:rFonts w:hint="default" w:ascii="仿宋" w:hAnsi="仿宋" w:eastAsia="仿宋"/>
                <w:sz w:val="18"/>
                <w:szCs w:val="18"/>
                <w:lang w:val="en-US" w:eastAsia="zh-CN"/>
              </w:rPr>
            </w:pPr>
          </w:p>
        </w:tc>
        <w:tc>
          <w:tcPr>
            <w:tcW w:w="57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11511481452402254N</w:t>
            </w:r>
          </w:p>
          <w:p>
            <w:pPr>
              <w:jc w:val="center"/>
              <w:rPr>
                <w:rFonts w:hint="eastAsia" w:ascii="仿宋" w:hAnsi="仿宋" w:eastAsia="仿宋"/>
                <w:sz w:val="18"/>
                <w:szCs w:val="18"/>
                <w:lang w:val="en-US" w:eastAsia="zh-CN"/>
              </w:rPr>
            </w:pPr>
          </w:p>
        </w:tc>
        <w:tc>
          <w:tcPr>
            <w:tcW w:w="472" w:type="dxa"/>
            <w:tcBorders>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刘祥波</w:t>
            </w:r>
          </w:p>
          <w:p>
            <w:pPr>
              <w:jc w:val="center"/>
              <w:rPr>
                <w:rFonts w:hint="eastAsia" w:ascii="仿宋" w:hAnsi="仿宋" w:eastAsia="仿宋"/>
                <w:sz w:val="18"/>
                <w:szCs w:val="18"/>
                <w:lang w:val="en-US" w:eastAsia="zh-CN"/>
              </w:rPr>
            </w:pPr>
          </w:p>
        </w:tc>
        <w:tc>
          <w:tcPr>
            <w:tcW w:w="141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关于印发《万源河道采砂规划（2023-2027年）审查意见》的通知</w:t>
            </w:r>
          </w:p>
          <w:p>
            <w:pPr>
              <w:jc w:val="center"/>
              <w:rPr>
                <w:rFonts w:hint="default" w:ascii="仿宋" w:hAnsi="仿宋" w:eastAsia="仿宋"/>
                <w:sz w:val="18"/>
                <w:szCs w:val="18"/>
                <w:lang w:val="en-US" w:eastAsia="zh-CN"/>
              </w:rPr>
            </w:pPr>
          </w:p>
        </w:tc>
        <w:tc>
          <w:tcPr>
            <w:tcW w:w="709"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达市水审函〔2023〕30号</w:t>
            </w:r>
          </w:p>
          <w:p>
            <w:pPr>
              <w:jc w:val="center"/>
              <w:rPr>
                <w:rFonts w:hint="eastAsia" w:ascii="仿宋" w:hAnsi="仿宋" w:eastAsia="仿宋"/>
                <w:sz w:val="18"/>
                <w:szCs w:val="18"/>
                <w:lang w:val="en-US" w:eastAsia="zh-CN"/>
              </w:rPr>
            </w:pPr>
          </w:p>
        </w:tc>
        <w:tc>
          <w:tcPr>
            <w:tcW w:w="378"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《万源市河道采砂规划报告（2023-2027年）技术审查意见》</w:t>
            </w:r>
          </w:p>
          <w:p>
            <w:pPr>
              <w:jc w:val="center"/>
              <w:rPr>
                <w:rFonts w:hint="default" w:ascii="仿宋" w:hAnsi="仿宋" w:eastAsia="仿宋"/>
                <w:sz w:val="18"/>
                <w:szCs w:val="18"/>
                <w:lang w:val="en-US" w:eastAsia="zh-CN"/>
              </w:rPr>
            </w:pPr>
          </w:p>
        </w:tc>
        <w:tc>
          <w:tcPr>
            <w:tcW w:w="567"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2023/03/03</w:t>
            </w:r>
          </w:p>
          <w:p>
            <w:pPr>
              <w:jc w:val="center"/>
              <w:rPr>
                <w:rFonts w:hint="default" w:ascii="仿宋" w:hAnsi="仿宋" w:eastAsia="仿宋"/>
                <w:sz w:val="18"/>
                <w:szCs w:val="18"/>
                <w:lang w:val="en-US" w:eastAsia="zh-CN"/>
              </w:rPr>
            </w:pPr>
          </w:p>
        </w:tc>
        <w:tc>
          <w:tcPr>
            <w:tcW w:w="520"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2023/03/03</w:t>
            </w:r>
          </w:p>
          <w:p>
            <w:pPr>
              <w:jc w:val="center"/>
              <w:rPr>
                <w:rFonts w:hint="default" w:ascii="仿宋" w:hAnsi="仿宋" w:eastAsia="仿宋"/>
                <w:sz w:val="18"/>
                <w:szCs w:val="18"/>
                <w:lang w:val="en-US" w:eastAsia="zh-CN"/>
              </w:rPr>
            </w:pPr>
          </w:p>
        </w:tc>
        <w:tc>
          <w:tcPr>
            <w:tcW w:w="709"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2027/12/31</w:t>
            </w:r>
          </w:p>
          <w:p>
            <w:pPr>
              <w:jc w:val="center"/>
              <w:rPr>
                <w:rFonts w:hint="default"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472"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宣汉成发实业有限公司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91511722MA6AU6NG4X</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景远平</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关于宣汉县明月坝旅游中心建设项目行洪论证与河势稳定评价报告的批复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达市水审函〔2023〕31号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宣汉县明月坝旅游中心建设项目行洪论证与河势稳定评价报告</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2023/03/10</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2023/03/10</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2026/03/09</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7"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3</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中铁二十四局集团有限公司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913100001322024481</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支卫清</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关于DK240+660明月江特大桥临时工程行洪与河势稳定评价报告的批复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达市水审函〔2023〕32号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新建西渝高铁DK240+660明月江特大桥临时工程行洪论证与河势稳定评价报告</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2023/03/10</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2023/03/10</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2026/03/09</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4</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万源市城乡规划编制中心</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12511481769969072H</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向力</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关于八台山龙潭河景区河道行洪论证与河势稳定评价报告的批复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达市水审函〔2023〕33号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万源市八台山风景名胜区龙潭河景区河道行洪论证与河势稳定评价报告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2023/03/20</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2023/03/20</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2026/03/19</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cstheme="minorBidi"/>
                <w:kern w:val="2"/>
                <w:sz w:val="18"/>
                <w:szCs w:val="18"/>
                <w:lang w:val="en-US" w:eastAsia="zh-CN" w:bidi="ar-SA"/>
              </w:rPr>
              <w:t>5</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达州市投资有限公司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91511700720894882G</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陈珏光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关于东部经开区生态智慧城（安置房一期及配套道路）水保方案的批复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达市水审函〔2023〕34号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达州东部经开区生态智慧城综合开发建设项目（安置房一期及配套道路工程）水保方案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2023/03/22</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2023/03/22</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2032/03/21</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6</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达州市投资有限公司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default"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91511700720894882G</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陈珏光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关于达州东部经开区生态智慧城（标准厂房及配套道路）水保方案的批复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达市水审函〔2023〕35号</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达州东部经开区生态智慧城（标准厂房及配套道路）水保方案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2023/03/22</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2023/03/22</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2032/03/21</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7</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中铁四局集团有限公司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913400001491855256</w:t>
            </w:r>
          </w:p>
          <w:p>
            <w:pPr>
              <w:jc w:val="center"/>
              <w:rPr>
                <w:rFonts w:hint="default"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栗欣</w:t>
            </w:r>
          </w:p>
          <w:p>
            <w:pPr>
              <w:jc w:val="center"/>
              <w:rPr>
                <w:rFonts w:hint="default"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关于西渝高铁康渝段站前七标铜钵河1号便桥行洪与河势报告的批复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达市水审函〔2023〕36号</w:t>
            </w:r>
          </w:p>
          <w:p>
            <w:pPr>
              <w:jc w:val="center"/>
              <w:rPr>
                <w:rFonts w:hint="default"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西渝高铁康渝段站前七标铜钵河1号便桥行洪与河势报告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2023/03/23</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2023/03/23</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2026/03/22</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default"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default"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8</w:t>
            </w:r>
            <w:bookmarkStart w:id="0" w:name="_GoBack"/>
            <w:bookmarkEnd w:id="0"/>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达州道达交通发展有限公司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default"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91511703MA62E2FD39</w:t>
            </w:r>
          </w:p>
          <w:p>
            <w:pPr>
              <w:jc w:val="center"/>
              <w:rPr>
                <w:rFonts w:hint="default"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金怀立</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关于国道542达川区管村至石桥（平昌段）改建工程水土保持方案的批复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达市水审函〔2023〕37号</w:t>
            </w:r>
          </w:p>
          <w:p>
            <w:pPr>
              <w:jc w:val="center"/>
              <w:rPr>
                <w:rFonts w:hint="default"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default"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国道542达川区管村至石桥（平昌段）改建工程水土保持方案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 w:eastAsia="zh-CN"/>
              </w:rPr>
            </w:pPr>
            <w:r>
              <w:rPr>
                <w:rFonts w:hint="eastAsia" w:ascii="仿宋" w:hAnsi="仿宋" w:eastAsia="仿宋"/>
                <w:sz w:val="18"/>
                <w:szCs w:val="18"/>
                <w:lang w:val="en-US" w:eastAsia="zh-CN"/>
              </w:rPr>
              <w:t>2023/03/</w:t>
            </w:r>
            <w:r>
              <w:rPr>
                <w:rFonts w:hint="default" w:ascii="仿宋" w:hAnsi="仿宋" w:eastAsia="仿宋"/>
                <w:sz w:val="18"/>
                <w:szCs w:val="18"/>
                <w:lang w:val="en" w:eastAsia="zh-CN"/>
              </w:rPr>
              <w:t>31</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 w:eastAsia="zh-CN"/>
              </w:rPr>
            </w:pPr>
            <w:r>
              <w:rPr>
                <w:rFonts w:hint="eastAsia" w:ascii="仿宋" w:hAnsi="仿宋" w:eastAsia="仿宋"/>
                <w:sz w:val="18"/>
                <w:szCs w:val="18"/>
                <w:lang w:val="en-US" w:eastAsia="zh-CN"/>
              </w:rPr>
              <w:t>2023/03/</w:t>
            </w:r>
            <w:r>
              <w:rPr>
                <w:rFonts w:hint="default" w:ascii="仿宋" w:hAnsi="仿宋" w:eastAsia="仿宋"/>
                <w:sz w:val="18"/>
                <w:szCs w:val="18"/>
                <w:lang w:val="en" w:eastAsia="zh-CN"/>
              </w:rPr>
              <w:t>31</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 w:eastAsia="zh-CN"/>
              </w:rPr>
            </w:pPr>
            <w:r>
              <w:rPr>
                <w:rFonts w:hint="eastAsia" w:ascii="仿宋" w:hAnsi="仿宋" w:eastAsia="仿宋"/>
                <w:sz w:val="18"/>
                <w:szCs w:val="18"/>
                <w:lang w:val="en-US" w:eastAsia="zh-CN"/>
              </w:rPr>
              <w:t>20</w:t>
            </w:r>
            <w:r>
              <w:rPr>
                <w:rFonts w:hint="default" w:ascii="仿宋" w:hAnsi="仿宋" w:eastAsia="仿宋"/>
                <w:sz w:val="18"/>
                <w:szCs w:val="18"/>
                <w:lang w:val="en" w:eastAsia="zh-CN"/>
              </w:rPr>
              <w:t>32</w:t>
            </w:r>
            <w:r>
              <w:rPr>
                <w:rFonts w:hint="eastAsia" w:ascii="仿宋" w:hAnsi="仿宋" w:eastAsia="仿宋"/>
                <w:sz w:val="18"/>
                <w:szCs w:val="18"/>
                <w:lang w:val="en-US" w:eastAsia="zh-CN"/>
              </w:rPr>
              <w:t>/03/</w:t>
            </w:r>
            <w:r>
              <w:rPr>
                <w:rFonts w:hint="default" w:ascii="仿宋" w:hAnsi="仿宋" w:eastAsia="仿宋"/>
                <w:sz w:val="18"/>
                <w:szCs w:val="18"/>
                <w:lang w:val="en" w:eastAsia="zh-CN"/>
              </w:rPr>
              <w:t>30</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达州市水务局</w:t>
            </w:r>
          </w:p>
          <w:p>
            <w:pPr>
              <w:jc w:val="center"/>
              <w:rPr>
                <w:rFonts w:hint="default"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rPr>
            </w:pPr>
            <w:r>
              <w:rPr>
                <w:rFonts w:hint="eastAsia" w:ascii="仿宋" w:hAnsi="仿宋" w:eastAsia="仿宋"/>
                <w:sz w:val="18"/>
                <w:szCs w:val="18"/>
                <w:lang w:val="en-US" w:eastAsia="zh-CN"/>
              </w:rPr>
              <w:t>11511400008810403G</w:t>
            </w:r>
          </w:p>
          <w:p>
            <w:pPr>
              <w:jc w:val="center"/>
              <w:rPr>
                <w:rFonts w:hint="default"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jc w:val="center"/>
        </w:trPr>
        <w:tc>
          <w:tcPr>
            <w:tcW w:w="581" w:type="dxa"/>
            <w:tcBorders>
              <w:top w:val="single" w:color="auto" w:sz="4" w:space="0"/>
            </w:tcBorders>
            <w:vAlign w:val="center"/>
          </w:tcPr>
          <w:p>
            <w:pPr>
              <w:jc w:val="center"/>
              <w:rPr>
                <w:rFonts w:ascii="仿宋" w:hAnsi="仿宋" w:eastAsia="仿宋"/>
                <w:sz w:val="24"/>
                <w:szCs w:val="24"/>
              </w:rPr>
            </w:pPr>
          </w:p>
        </w:tc>
        <w:tc>
          <w:tcPr>
            <w:tcW w:w="793" w:type="dxa"/>
            <w:tcBorders>
              <w:top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577" w:type="dxa"/>
            <w:tcBorders>
              <w:top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851" w:type="dxa"/>
            <w:tcBorders>
              <w:top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567" w:type="dxa"/>
            <w:tcBorders>
              <w:top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1417" w:type="dxa"/>
            <w:tcBorders>
              <w:top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378" w:type="dxa"/>
            <w:tcBorders>
              <w:top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1465" w:type="dxa"/>
            <w:tcBorders>
              <w:top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567" w:type="dxa"/>
            <w:tcBorders>
              <w:top w:val="single" w:color="auto" w:sz="4" w:space="0"/>
              <w:left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945" w:type="dxa"/>
            <w:tcBorders>
              <w:top w:val="single" w:color="auto" w:sz="4" w:space="0"/>
              <w:left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tcBorders>
            <w:vAlign w:val="center"/>
          </w:tcPr>
          <w:p>
            <w:pPr>
              <w:jc w:val="center"/>
              <w:rPr>
                <w:rFonts w:hint="eastAsia" w:ascii="仿宋" w:hAnsi="仿宋" w:eastAsia="仿宋" w:cstheme="minorBidi"/>
                <w:kern w:val="2"/>
                <w:sz w:val="18"/>
                <w:szCs w:val="18"/>
                <w:lang w:val="en-US" w:eastAsia="zh-CN" w:bidi="ar-SA"/>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5MjQ0YmQ0ZTkzMTA0ZjQ1MjY0ZGE3YzMxYjc0YjcifQ=="/>
  </w:docVars>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2FFF6469"/>
    <w:rsid w:val="39DF077C"/>
    <w:rsid w:val="39FE1C1C"/>
    <w:rsid w:val="3D7B9A33"/>
    <w:rsid w:val="4FEBFA42"/>
    <w:rsid w:val="5B3FD140"/>
    <w:rsid w:val="5BDF62EC"/>
    <w:rsid w:val="642FEDEC"/>
    <w:rsid w:val="67FE1975"/>
    <w:rsid w:val="6BBB86AD"/>
    <w:rsid w:val="6C007B66"/>
    <w:rsid w:val="6FFED66E"/>
    <w:rsid w:val="73ACCC3B"/>
    <w:rsid w:val="77730DE3"/>
    <w:rsid w:val="79AF4F9C"/>
    <w:rsid w:val="7DFF801A"/>
    <w:rsid w:val="7EAF0173"/>
    <w:rsid w:val="7F7B242B"/>
    <w:rsid w:val="7FF7F44B"/>
    <w:rsid w:val="7FFF5320"/>
    <w:rsid w:val="93DF8140"/>
    <w:rsid w:val="9F9FD29B"/>
    <w:rsid w:val="B04B736F"/>
    <w:rsid w:val="B378B747"/>
    <w:rsid w:val="BA7B23C6"/>
    <w:rsid w:val="BA976129"/>
    <w:rsid w:val="BB7FF24A"/>
    <w:rsid w:val="D9EFD195"/>
    <w:rsid w:val="DBFF7F56"/>
    <w:rsid w:val="DD7590C6"/>
    <w:rsid w:val="DEC35453"/>
    <w:rsid w:val="DECE5FC6"/>
    <w:rsid w:val="EEB91134"/>
    <w:rsid w:val="EF7FCD15"/>
    <w:rsid w:val="F0EFD4AC"/>
    <w:rsid w:val="F171CA3D"/>
    <w:rsid w:val="F352CF5E"/>
    <w:rsid w:val="F475789E"/>
    <w:rsid w:val="F79EF010"/>
    <w:rsid w:val="F7EFADAF"/>
    <w:rsid w:val="FB84579D"/>
    <w:rsid w:val="FE734873"/>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2319</Words>
  <Characters>3139</Characters>
  <Lines>17</Lines>
  <Paragraphs>4</Paragraphs>
  <TotalTime>1</TotalTime>
  <ScaleCrop>false</ScaleCrop>
  <LinksUpToDate>false</LinksUpToDate>
  <CharactersWithSpaces>3140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2020-10-01T03:06:00Z</dcterms:created>
  <dc:creator>Administrator</dc:creator>
  <cp:lastModifiedBy>李茂森</cp:lastModifiedBy>
  <dcterms:modified xsi:type="dcterms:W3CDTF">2023-04-03T03:51:46Z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2BD21316EF984A1DBCD0D601E969768B</vt:lpwstr>
  </property>
</Properties>
</file>