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达州市水务局</w:t>
      </w:r>
    </w:p>
    <w:p>
      <w:pPr>
        <w:spacing w:line="578"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关于绩效运行跟踪监控的分析报告</w:t>
      </w:r>
    </w:p>
    <w:p>
      <w:pPr>
        <w:spacing w:line="578" w:lineRule="exact"/>
        <w:jc w:val="center"/>
        <w:rPr>
          <w:rFonts w:ascii="Times New Roman" w:hAnsi="Times New Roman" w:eastAsia="方正小标宋简体"/>
          <w:color w:val="000000"/>
          <w:sz w:val="44"/>
          <w:szCs w:val="44"/>
        </w:rPr>
      </w:pPr>
    </w:p>
    <w:p>
      <w:pPr>
        <w:pStyle w:val="33"/>
        <w:spacing w:line="578" w:lineRule="exact"/>
        <w:ind w:firstLine="0"/>
        <w:jc w:val="left"/>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市财政局：</w:t>
      </w:r>
    </w:p>
    <w:p>
      <w:pPr>
        <w:spacing w:line="578" w:lineRule="exact"/>
        <w:ind w:firstLine="640" w:firstLineChars="200"/>
        <w:rPr>
          <w:rFonts w:ascii="Times New Roman" w:hAnsi="Times New Roman" w:eastAsia="方正小标宋简体"/>
          <w:color w:val="000000"/>
          <w:sz w:val="44"/>
          <w:szCs w:val="44"/>
        </w:rPr>
      </w:pPr>
      <w:r>
        <w:rPr>
          <w:rFonts w:hint="eastAsia" w:ascii="Times New Roman" w:hAnsi="Times New Roman" w:eastAsia="仿宋_GB2312"/>
          <w:color w:val="000000"/>
          <w:sz w:val="32"/>
          <w:szCs w:val="32"/>
        </w:rPr>
        <w:t>按照《达州市财政局关于开展</w:t>
      </w:r>
      <w:r>
        <w:rPr>
          <w:rFonts w:ascii="Times New Roman" w:hAnsi="Times New Roman" w:eastAsia="仿宋_GB2312"/>
          <w:b/>
          <w:bCs/>
          <w:color w:val="000000"/>
          <w:sz w:val="32"/>
          <w:szCs w:val="32"/>
        </w:rPr>
        <w:t>2020</w:t>
      </w:r>
      <w:r>
        <w:rPr>
          <w:rFonts w:hint="eastAsia" w:ascii="Times New Roman" w:hAnsi="Times New Roman" w:eastAsia="仿宋_GB2312"/>
          <w:color w:val="000000"/>
          <w:sz w:val="32"/>
          <w:szCs w:val="32"/>
        </w:rPr>
        <w:t>年度财政支出预算绩效运行跟踪监控工作的通知》（达市财绩〔</w:t>
      </w:r>
      <w:r>
        <w:rPr>
          <w:rFonts w:ascii="Times New Roman" w:hAnsi="Times New Roman" w:eastAsia="仿宋_GB2312"/>
          <w:b/>
          <w:bCs/>
          <w:color w:val="000000"/>
          <w:sz w:val="32"/>
          <w:szCs w:val="32"/>
        </w:rPr>
        <w:t>2021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ascii="Times New Roman" w:hAnsi="Times New Roman" w:eastAsia="仿宋_GB2312"/>
          <w:b/>
          <w:bCs/>
          <w:color w:val="000000"/>
          <w:sz w:val="32"/>
          <w:szCs w:val="32"/>
        </w:rPr>
        <w:t xml:space="preserve"> </w:t>
      </w:r>
      <w:r>
        <w:rPr>
          <w:rFonts w:hint="eastAsia" w:ascii="Times New Roman" w:hAnsi="Times New Roman" w:eastAsia="仿宋_GB2312"/>
          <w:color w:val="000000"/>
          <w:sz w:val="32"/>
          <w:szCs w:val="32"/>
        </w:rPr>
        <w:t>号）要求，我局高度重视，专题研究并组织相关人员对</w:t>
      </w:r>
      <w:r>
        <w:rPr>
          <w:rFonts w:ascii="Times New Roman" w:hAnsi="Times New Roman" w:eastAsia="仿宋_GB2312"/>
          <w:color w:val="000000"/>
          <w:sz w:val="32"/>
          <w:szCs w:val="32"/>
        </w:rPr>
        <w:t xml:space="preserve"> </w:t>
      </w:r>
      <w:r>
        <w:rPr>
          <w:rFonts w:ascii="Times New Roman" w:hAnsi="Times New Roman" w:eastAsia="仿宋_GB2312"/>
          <w:b/>
          <w:bCs/>
          <w:color w:val="000000"/>
          <w:sz w:val="32"/>
          <w:szCs w:val="32"/>
        </w:rPr>
        <w:t>2021</w:t>
      </w:r>
      <w:r>
        <w:rPr>
          <w:rFonts w:hint="eastAsia" w:ascii="Times New Roman" w:hAnsi="Times New Roman" w:eastAsia="仿宋_GB2312"/>
          <w:color w:val="000000"/>
          <w:sz w:val="32"/>
          <w:szCs w:val="32"/>
        </w:rPr>
        <w:t>年度</w:t>
      </w:r>
      <w:r>
        <w:rPr>
          <w:rFonts w:ascii="Times New Roman" w:hAnsi="Times New Roman" w:eastAsia="仿宋_GB2312"/>
          <w:color w:val="000000"/>
          <w:sz w:val="32"/>
          <w:szCs w:val="32"/>
        </w:rPr>
        <w:t>1-10</w:t>
      </w:r>
      <w:r>
        <w:rPr>
          <w:rFonts w:hint="eastAsia" w:ascii="Times New Roman" w:hAnsi="Times New Roman" w:eastAsia="仿宋_GB2312"/>
          <w:color w:val="000000"/>
          <w:sz w:val="32"/>
          <w:szCs w:val="32"/>
        </w:rPr>
        <w:t>月份项目预算绩效情况进行全面梳理，认真开展监控分析工作。现将有关情况报告如下。</w:t>
      </w:r>
    </w:p>
    <w:p>
      <w:pPr>
        <w:pStyle w:val="2"/>
        <w:ind w:left="158" w:firstLine="640"/>
      </w:pPr>
      <w:r>
        <w:rPr>
          <w:rFonts w:hint="eastAsia"/>
        </w:rPr>
        <w:t>单位项目基本情况</w:t>
      </w:r>
    </w:p>
    <w:p>
      <w:pPr>
        <w:pStyle w:val="4"/>
      </w:pPr>
      <w:bookmarkStart w:id="0" w:name="_Toc90375010"/>
      <w:r>
        <w:rPr>
          <w:rFonts w:hint="eastAsia"/>
        </w:rPr>
        <w:t>项目</w:t>
      </w:r>
      <w:bookmarkEnd w:id="0"/>
      <w:r>
        <w:rPr>
          <w:rFonts w:hint="eastAsia"/>
        </w:rPr>
        <w:t>概况</w:t>
      </w:r>
    </w:p>
    <w:p>
      <w:pPr>
        <w:pStyle w:val="3"/>
        <w:rPr>
          <w:lang w:val="en-US"/>
        </w:rPr>
      </w:pPr>
      <w:bookmarkStart w:id="4" w:name="_GoBack"/>
      <w:bookmarkEnd w:id="4"/>
      <w:r>
        <w:rPr>
          <w:rFonts w:hint="eastAsia"/>
          <w:color w:val="000000"/>
          <w:szCs w:val="32"/>
        </w:rPr>
        <w:t>根据</w:t>
      </w:r>
      <w:r>
        <w:rPr>
          <w:rFonts w:hint="eastAsia"/>
          <w:color w:val="000000"/>
          <w:szCs w:val="32"/>
          <w:lang w:val="en-US"/>
        </w:rPr>
        <w:t>你</w:t>
      </w:r>
      <w:r>
        <w:rPr>
          <w:rFonts w:hint="eastAsia"/>
          <w:color w:val="000000"/>
          <w:szCs w:val="32"/>
        </w:rPr>
        <w:t>局《关于批复市级</w:t>
      </w:r>
      <w:r>
        <w:rPr>
          <w:color w:val="000000"/>
          <w:szCs w:val="32"/>
        </w:rPr>
        <w:t>20</w:t>
      </w:r>
      <w:r>
        <w:rPr>
          <w:color w:val="000000"/>
          <w:szCs w:val="32"/>
          <w:lang w:val="en-US"/>
        </w:rPr>
        <w:t>21</w:t>
      </w:r>
      <w:r>
        <w:rPr>
          <w:rFonts w:hint="eastAsia"/>
          <w:color w:val="000000"/>
          <w:szCs w:val="32"/>
        </w:rPr>
        <w:t>年部门预算的通知》（</w:t>
      </w:r>
      <w:r>
        <w:rPr>
          <w:rFonts w:hint="eastAsia"/>
          <w:color w:val="000000"/>
          <w:szCs w:val="32"/>
          <w:lang w:val="en-US"/>
        </w:rPr>
        <w:t>达市财预</w:t>
      </w:r>
      <w:r>
        <w:rPr>
          <w:color w:val="000000"/>
          <w:szCs w:val="32"/>
          <w:lang w:val="en-US"/>
        </w:rPr>
        <w:t>[2021]4</w:t>
      </w:r>
      <w:r>
        <w:rPr>
          <w:rFonts w:hint="eastAsia"/>
          <w:color w:val="000000"/>
          <w:szCs w:val="32"/>
          <w:lang w:val="en-US"/>
        </w:rPr>
        <w:t>号</w:t>
      </w:r>
      <w:r>
        <w:rPr>
          <w:rFonts w:hint="eastAsia"/>
          <w:color w:val="000000"/>
          <w:szCs w:val="32"/>
        </w:rPr>
        <w:t>），</w:t>
      </w:r>
      <w:r>
        <w:rPr>
          <w:rFonts w:hint="eastAsia"/>
          <w:lang w:val="en-US"/>
        </w:rPr>
        <w:t>下达市水务局专用项目（不含运转类专项）</w:t>
      </w:r>
      <w:r>
        <w:rPr>
          <w:lang w:val="en-US"/>
        </w:rPr>
        <w:t>15</w:t>
      </w:r>
      <w:r>
        <w:rPr>
          <w:rFonts w:hint="eastAsia"/>
          <w:lang w:val="en-US"/>
        </w:rPr>
        <w:t>个，预算金额</w:t>
      </w:r>
      <w:r>
        <w:rPr>
          <w:lang w:val="en-US"/>
        </w:rPr>
        <w:t>198.40</w:t>
      </w:r>
      <w:r>
        <w:rPr>
          <w:rFonts w:hint="eastAsia"/>
          <w:lang w:val="en-US"/>
        </w:rPr>
        <w:t>万元，明细如下：</w:t>
      </w:r>
    </w:p>
    <w:tbl>
      <w:tblPr>
        <w:tblStyle w:val="13"/>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4"/>
        <w:gridCol w:w="2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nil"/>
              <w:left w:val="nil"/>
              <w:bottom w:val="single" w:color="000000" w:sz="4" w:space="0"/>
              <w:right w:val="nil"/>
            </w:tcBorders>
            <w:noWrap/>
            <w:vAlign w:val="bottom"/>
          </w:tcPr>
          <w:p>
            <w:pPr>
              <w:jc w:val="left"/>
              <w:rPr>
                <w:rFonts w:ascii="Times New Roman" w:hAnsi="Times New Roman" w:eastAsia="宋体"/>
                <w:color w:val="000000"/>
                <w:sz w:val="18"/>
                <w:szCs w:val="18"/>
              </w:rPr>
            </w:pPr>
          </w:p>
        </w:tc>
        <w:tc>
          <w:tcPr>
            <w:tcW w:w="2144" w:type="dxa"/>
            <w:tcBorders>
              <w:top w:val="nil"/>
              <w:left w:val="nil"/>
              <w:bottom w:val="nil"/>
              <w:right w:val="nil"/>
            </w:tcBorders>
            <w:noWrap/>
            <w:vAlign w:val="center"/>
          </w:tcPr>
          <w:p>
            <w:pPr>
              <w:widowControl/>
              <w:jc w:val="righ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项目名称</w:t>
            </w:r>
          </w:p>
        </w:tc>
        <w:tc>
          <w:tcPr>
            <w:tcW w:w="21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74" w:type="dxa"/>
            <w:vMerge w:val="continue"/>
            <w:tcBorders>
              <w:top w:val="single" w:color="000000" w:sz="4" w:space="0"/>
              <w:left w:val="single" w:color="000000" w:sz="4" w:space="0"/>
              <w:bottom w:val="single" w:color="000000" w:sz="4" w:space="0"/>
              <w:right w:val="single" w:color="000000" w:sz="4" w:space="0"/>
            </w:tcBorders>
            <w:vAlign w:val="center"/>
          </w:tcPr>
          <w:p/>
        </w:tc>
        <w:tc>
          <w:tcPr>
            <w:tcW w:w="2144" w:type="dxa"/>
            <w:vMerge w:val="continue"/>
            <w:tcBorders>
              <w:top w:val="single" w:color="000000" w:sz="4" w:space="0"/>
              <w:left w:val="single" w:color="000000" w:sz="4" w:space="0"/>
              <w:bottom w:val="single" w:color="000000" w:sz="4" w:space="0"/>
              <w:right w:val="single" w:color="000000"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合</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计</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村镇供水工程规范化管理工作经费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防汛视频系统监测运行及网络租用和设备运行费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公务用车运行维护费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国家水资源监控能力建设二期（</w:t>
            </w:r>
            <w:r>
              <w:rPr>
                <w:rFonts w:ascii="Times New Roman" w:hAnsi="Times New Roman" w:eastAsia="宋体"/>
                <w:color w:val="000000"/>
                <w:kern w:val="0"/>
                <w:sz w:val="18"/>
                <w:szCs w:val="18"/>
              </w:rPr>
              <w:t>12</w:t>
            </w:r>
            <w:r>
              <w:rPr>
                <w:rFonts w:hint="eastAsia" w:ascii="Times New Roman" w:hAnsi="Times New Roman" w:eastAsia="宋体"/>
                <w:color w:val="000000"/>
                <w:kern w:val="0"/>
                <w:sz w:val="18"/>
                <w:szCs w:val="18"/>
              </w:rPr>
              <w:t>个渠道）农业取水户水量在线监测运行维护费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国家水资源监控能力建设二期（</w:t>
            </w:r>
            <w:r>
              <w:rPr>
                <w:rFonts w:ascii="Times New Roman" w:hAnsi="Times New Roman" w:eastAsia="宋体"/>
                <w:color w:val="000000"/>
                <w:kern w:val="0"/>
                <w:sz w:val="18"/>
                <w:szCs w:val="18"/>
              </w:rPr>
              <w:t>56</w:t>
            </w:r>
            <w:r>
              <w:rPr>
                <w:rFonts w:hint="eastAsia" w:ascii="Times New Roman" w:hAnsi="Times New Roman" w:eastAsia="宋体"/>
                <w:color w:val="000000"/>
                <w:kern w:val="0"/>
                <w:sz w:val="18"/>
                <w:szCs w:val="18"/>
              </w:rPr>
              <w:t>根取水管道）非农取水户水量在线监测运行维护费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国家水资源监控能力建设一期（</w:t>
            </w:r>
            <w:r>
              <w:rPr>
                <w:rFonts w:ascii="Times New Roman" w:hAnsi="Times New Roman" w:eastAsia="宋体"/>
                <w:color w:val="000000"/>
                <w:kern w:val="0"/>
                <w:sz w:val="18"/>
                <w:szCs w:val="18"/>
              </w:rPr>
              <w:t>23</w:t>
            </w:r>
            <w:r>
              <w:rPr>
                <w:rFonts w:hint="eastAsia" w:ascii="Times New Roman" w:hAnsi="Times New Roman" w:eastAsia="宋体"/>
                <w:color w:val="000000"/>
                <w:kern w:val="0"/>
                <w:sz w:val="18"/>
                <w:szCs w:val="18"/>
              </w:rPr>
              <w:t>根取水管道）非农取水户水量在线监测运行维护费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国控点罗江口水质在线监测运行维护费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罗江库区清漂经费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县县城水质在线监测运行维护费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生产建设项目水土保持方案审批等工作经费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市总河长办、市河长制办公室日常办公经费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水电站下泄生态流量市级平台运行维护费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水利工程强监管提升行动工作经费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水利工程验收三年攻坚行动经费</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17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Times New Roman" w:hAnsi="Times New Roman" w:eastAsia="宋体"/>
                <w:color w:val="000000"/>
                <w:sz w:val="18"/>
                <w:szCs w:val="18"/>
              </w:rPr>
            </w:pPr>
            <w:r>
              <w:rPr>
                <w:rFonts w:hint="eastAsia" w:ascii="Times New Roman" w:hAnsi="Times New Roman" w:eastAsia="宋体"/>
                <w:color w:val="000000"/>
                <w:kern w:val="0"/>
                <w:sz w:val="18"/>
                <w:szCs w:val="18"/>
              </w:rPr>
              <w:t>水资源公报编制及相关数据采集</w:t>
            </w:r>
          </w:p>
        </w:tc>
        <w:tc>
          <w:tcPr>
            <w:tcW w:w="2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18"/>
                <w:szCs w:val="18"/>
              </w:rPr>
            </w:pPr>
            <w:r>
              <w:rPr>
                <w:rFonts w:ascii="Times New Roman" w:hAnsi="Times New Roman" w:eastAsia="宋体"/>
                <w:color w:val="000000"/>
                <w:kern w:val="0"/>
                <w:sz w:val="18"/>
                <w:szCs w:val="18"/>
              </w:rPr>
              <w:t>10.0</w:t>
            </w:r>
          </w:p>
        </w:tc>
      </w:tr>
    </w:tbl>
    <w:p>
      <w:pPr>
        <w:pStyle w:val="3"/>
        <w:rPr>
          <w:lang w:val="en-US"/>
        </w:rPr>
      </w:pPr>
      <w:r>
        <w:rPr>
          <w:rFonts w:hint="eastAsia"/>
          <w:lang w:val="en-US"/>
        </w:rPr>
        <w:t>接照预算管理要求，对以上项目均设置了绩效目标。其中，防汛视频系统监测运行及网络租用和设备运行费和国家水资源监控能力建设二期（</w:t>
      </w:r>
      <w:r>
        <w:rPr>
          <w:lang w:val="en-US"/>
        </w:rPr>
        <w:t>56</w:t>
      </w:r>
      <w:r>
        <w:rPr>
          <w:rFonts w:hint="eastAsia"/>
          <w:lang w:val="en-US"/>
        </w:rPr>
        <w:t>根取水管道）非农取水户水量在线监测运行维护费在部门预算公开中同时公开了项目绩效目标。水利工程强监管提升行动工作经费为核拨专项。</w:t>
      </w:r>
    </w:p>
    <w:p>
      <w:pPr>
        <w:pStyle w:val="4"/>
      </w:pPr>
      <w:r>
        <w:rPr>
          <w:rFonts w:hint="eastAsia"/>
        </w:rPr>
        <w:t>目标设定情况</w:t>
      </w:r>
    </w:p>
    <w:p>
      <w:pPr>
        <w:pStyle w:val="3"/>
        <w:rPr>
          <w:lang w:val="en-US"/>
        </w:rPr>
      </w:pPr>
      <w:r>
        <w:rPr>
          <w:rFonts w:hint="eastAsia"/>
          <w:lang w:val="en-US"/>
        </w:rPr>
        <w:t>年初</w:t>
      </w:r>
      <w:r>
        <w:rPr>
          <w:lang w:val="en-US"/>
        </w:rPr>
        <w:t>15</w:t>
      </w:r>
      <w:r>
        <w:rPr>
          <w:rFonts w:hint="eastAsia"/>
          <w:lang w:val="en-US"/>
        </w:rPr>
        <w:t>个特定专项绩效目标如下：</w:t>
      </w:r>
    </w:p>
    <w:tbl>
      <w:tblPr>
        <w:tblStyle w:val="13"/>
        <w:tblW w:w="10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
        <w:gridCol w:w="416"/>
        <w:gridCol w:w="473"/>
        <w:gridCol w:w="416"/>
        <w:gridCol w:w="2030"/>
        <w:gridCol w:w="702"/>
        <w:gridCol w:w="1308"/>
        <w:gridCol w:w="1016"/>
        <w:gridCol w:w="963"/>
        <w:gridCol w:w="10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471"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416"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473"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416"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2030"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702"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1308"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1016"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963" w:type="dxa"/>
            <w:tcBorders>
              <w:top w:val="nil"/>
              <w:left w:val="nil"/>
              <w:bottom w:val="nil"/>
              <w:right w:val="nil"/>
            </w:tcBorders>
            <w:vAlign w:val="center"/>
          </w:tcPr>
          <w:p>
            <w:pPr>
              <w:jc w:val="right"/>
              <w:rPr>
                <w:rFonts w:ascii="Times New Roman" w:hAnsi="Times New Roman" w:eastAsia="宋体"/>
                <w:color w:val="000000"/>
                <w:sz w:val="20"/>
                <w:szCs w:val="20"/>
              </w:rPr>
            </w:pPr>
          </w:p>
        </w:tc>
        <w:tc>
          <w:tcPr>
            <w:tcW w:w="1832" w:type="dxa"/>
            <w:gridSpan w:val="2"/>
            <w:tcBorders>
              <w:top w:val="nil"/>
              <w:left w:val="nil"/>
              <w:bottom w:val="nil"/>
              <w:right w:val="nil"/>
            </w:tcBorders>
            <w:vAlign w:val="center"/>
          </w:tcPr>
          <w:p>
            <w:pPr>
              <w:widowControl/>
              <w:jc w:val="righ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单位名称</w:t>
            </w:r>
            <w:r>
              <w:rPr>
                <w:rFonts w:ascii="Times New Roman" w:hAnsi="Times New Roman" w:eastAsia="宋体"/>
                <w:color w:val="000000"/>
                <w:kern w:val="0"/>
                <w:sz w:val="20"/>
                <w:szCs w:val="20"/>
              </w:rPr>
              <w:t>(</w:t>
            </w:r>
            <w:r>
              <w:rPr>
                <w:rFonts w:hint="eastAsia" w:ascii="Times New Roman" w:hAnsi="Times New Roman" w:eastAsia="宋体"/>
                <w:color w:val="000000"/>
                <w:kern w:val="0"/>
                <w:sz w:val="20"/>
                <w:szCs w:val="20"/>
              </w:rPr>
              <w:t>项目名称</w:t>
            </w:r>
            <w:r>
              <w:rPr>
                <w:rFonts w:ascii="Times New Roman" w:hAnsi="Times New Roman" w:eastAsia="宋体"/>
                <w:color w:val="000000"/>
                <w:kern w:val="0"/>
                <w:sz w:val="20"/>
                <w:szCs w:val="20"/>
              </w:rPr>
              <w:t>)</w:t>
            </w:r>
          </w:p>
        </w:tc>
        <w:tc>
          <w:tcPr>
            <w:tcW w:w="13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项目资金</w:t>
            </w:r>
          </w:p>
        </w:tc>
        <w:tc>
          <w:tcPr>
            <w:tcW w:w="203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年度目标</w:t>
            </w:r>
          </w:p>
        </w:tc>
        <w:tc>
          <w:tcPr>
            <w:tcW w:w="582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vAlign w:val="center"/>
          </w:tcPr>
          <w:p/>
        </w:tc>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资金总额</w:t>
            </w:r>
          </w:p>
        </w:tc>
        <w:tc>
          <w:tcPr>
            <w:tcW w:w="4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财政拨款</w:t>
            </w:r>
          </w:p>
        </w:tc>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其他资金</w:t>
            </w:r>
          </w:p>
        </w:tc>
        <w:tc>
          <w:tcPr>
            <w:tcW w:w="2030" w:type="dxa"/>
            <w:vMerge w:val="continue"/>
            <w:tcBorders>
              <w:top w:val="single" w:color="000000" w:sz="4" w:space="0"/>
              <w:left w:val="nil"/>
              <w:bottom w:val="single" w:color="000000" w:sz="4" w:space="0"/>
              <w:right w:val="single" w:color="000000" w:sz="4" w:space="0"/>
            </w:tcBorders>
            <w:vAlign w:val="center"/>
          </w:tc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项目完成指标</w:t>
            </w:r>
          </w:p>
        </w:tc>
        <w:tc>
          <w:tcPr>
            <w:tcW w:w="19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效益指标</w:t>
            </w:r>
          </w:p>
        </w:tc>
        <w:tc>
          <w:tcPr>
            <w:tcW w:w="18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vAlign w:val="center"/>
          </w:tc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tc>
        <w:tc>
          <w:tcPr>
            <w:tcW w:w="473" w:type="dxa"/>
            <w:vMerge w:val="continue"/>
            <w:tcBorders>
              <w:top w:val="single" w:color="000000" w:sz="4" w:space="0"/>
              <w:left w:val="single" w:color="000000" w:sz="4" w:space="0"/>
              <w:bottom w:val="single" w:color="000000" w:sz="4" w:space="0"/>
              <w:right w:val="single" w:color="000000" w:sz="4" w:space="0"/>
            </w:tcBorders>
            <w:vAlign w:val="center"/>
          </w:tc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tc>
        <w:tc>
          <w:tcPr>
            <w:tcW w:w="2030" w:type="dxa"/>
            <w:vMerge w:val="continue"/>
            <w:tcBorders>
              <w:top w:val="single" w:color="000000" w:sz="4" w:space="0"/>
              <w:left w:val="nil"/>
              <w:bottom w:val="single" w:color="000000" w:sz="4" w:space="0"/>
              <w:right w:val="single" w:color="000000" w:sz="4" w:space="0"/>
            </w:tcBorders>
            <w:vAlign w:val="center"/>
          </w:tc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三级指标</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指标值</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三级指标</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指标值</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三级指标</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渠县县城水质在线监测运行维护费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15</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完成渠县县城饮用水水源地水质在线监测的正常运行，确保水质达标，达到省厅考核全年综合值</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以上的目标值，为达州市实行最严格水资源考核工作做好基础工作。</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2021</w:t>
            </w:r>
            <w:r>
              <w:rPr>
                <w:rFonts w:hint="eastAsia" w:ascii="Times New Roman" w:hAnsi="Times New Roman" w:eastAsia="宋体"/>
                <w:color w:val="000000"/>
                <w:kern w:val="0"/>
                <w:sz w:val="20"/>
                <w:szCs w:val="20"/>
              </w:rPr>
              <w:t>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人工费用</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自动化监测后减少人工费用</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上级满意度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达到省厅考核目标值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上报率、完整率</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上报率、完整率全年达到</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以上（按月统计计算全年平均）</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按照近年签订合同金额</w:t>
            </w:r>
            <w:r>
              <w:rPr>
                <w:rFonts w:ascii="Times New Roman" w:hAnsi="Times New Roman" w:eastAsia="宋体"/>
                <w:color w:val="000000"/>
                <w:kern w:val="0"/>
                <w:sz w:val="20"/>
                <w:szCs w:val="20"/>
              </w:rPr>
              <w:t>15</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村镇供水工程规范化管理工作经费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11</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确保</w:t>
            </w:r>
            <w:r>
              <w:rPr>
                <w:rFonts w:ascii="Times New Roman" w:hAnsi="Times New Roman" w:eastAsia="宋体"/>
                <w:color w:val="000000"/>
                <w:kern w:val="0"/>
                <w:sz w:val="20"/>
                <w:szCs w:val="20"/>
              </w:rPr>
              <w:t>2021</w:t>
            </w:r>
            <w:r>
              <w:rPr>
                <w:rFonts w:hint="eastAsia" w:ascii="Times New Roman" w:hAnsi="Times New Roman" w:eastAsia="宋体"/>
                <w:color w:val="000000"/>
                <w:kern w:val="0"/>
                <w:sz w:val="20"/>
                <w:szCs w:val="20"/>
              </w:rPr>
              <w:t>年度参评的村镇供水工程运行管理规范化，顺利通过省上的验收。</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差旅费</w:t>
            </w:r>
            <w:r>
              <w:rPr>
                <w:rFonts w:ascii="Times New Roman" w:hAnsi="Times New Roman" w:eastAsia="宋体"/>
                <w:color w:val="000000"/>
                <w:kern w:val="0"/>
                <w:sz w:val="20"/>
                <w:szCs w:val="20"/>
              </w:rPr>
              <w:t>20</w:t>
            </w:r>
            <w:r>
              <w:rPr>
                <w:rFonts w:hint="eastAsia" w:ascii="Times New Roman" w:hAnsi="Times New Roman" w:eastAsia="宋体"/>
                <w:color w:val="000000"/>
                <w:kern w:val="0"/>
                <w:sz w:val="20"/>
                <w:szCs w:val="20"/>
              </w:rPr>
              <w:t>千元；租车费</w:t>
            </w:r>
            <w:r>
              <w:rPr>
                <w:rFonts w:ascii="Times New Roman" w:hAnsi="Times New Roman" w:eastAsia="宋体"/>
                <w:color w:val="000000"/>
                <w:kern w:val="0"/>
                <w:sz w:val="20"/>
                <w:szCs w:val="20"/>
              </w:rPr>
              <w:t>40</w:t>
            </w:r>
            <w:r>
              <w:rPr>
                <w:rFonts w:hint="eastAsia" w:ascii="Times New Roman" w:hAnsi="Times New Roman" w:eastAsia="宋体"/>
                <w:color w:val="000000"/>
                <w:kern w:val="0"/>
                <w:sz w:val="20"/>
                <w:szCs w:val="20"/>
              </w:rPr>
              <w:t>千元；培训费、试点示范费、宣传报道</w:t>
            </w:r>
            <w:r>
              <w:rPr>
                <w:rFonts w:ascii="Times New Roman" w:hAnsi="Times New Roman" w:eastAsia="宋体"/>
                <w:color w:val="000000"/>
                <w:kern w:val="0"/>
                <w:sz w:val="20"/>
                <w:szCs w:val="20"/>
              </w:rPr>
              <w:t>49</w:t>
            </w:r>
            <w:r>
              <w:rPr>
                <w:rFonts w:hint="eastAsia" w:ascii="Times New Roman" w:hAnsi="Times New Roman" w:eastAsia="宋体"/>
                <w:color w:val="000000"/>
                <w:kern w:val="0"/>
                <w:sz w:val="20"/>
                <w:szCs w:val="20"/>
              </w:rPr>
              <w:t>千元等费用</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拟达成效</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村镇供水工程运行管理规范化，为群众提供更优质的供水服务</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上级满意度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达到省厅验收标准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水电站下泄生态流量市级平台运行维护费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6</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确保水电站下泄生态流量市级平台正常运行，完成环保督察的要求。</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按照近年签订合同金额</w:t>
            </w:r>
            <w:r>
              <w:rPr>
                <w:rFonts w:ascii="Times New Roman" w:hAnsi="Times New Roman" w:eastAsia="宋体"/>
                <w:color w:val="000000"/>
                <w:kern w:val="0"/>
                <w:sz w:val="20"/>
                <w:szCs w:val="20"/>
              </w:rPr>
              <w:t>60</w:t>
            </w:r>
            <w:r>
              <w:rPr>
                <w:rFonts w:hint="eastAsia" w:ascii="Times New Roman" w:hAnsi="Times New Roman" w:eastAsia="宋体"/>
                <w:color w:val="000000"/>
                <w:kern w:val="0"/>
                <w:sz w:val="20"/>
                <w:szCs w:val="20"/>
              </w:rPr>
              <w:t>千元</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实时监测</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确保水电站下泄生态流量实时监测</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机关在职和离退休工资总额的</w:t>
            </w:r>
            <w:r>
              <w:rPr>
                <w:rFonts w:ascii="Times New Roman" w:hAnsi="Times New Roman" w:eastAsia="宋体"/>
                <w:color w:val="000000"/>
                <w:kern w:val="0"/>
                <w:sz w:val="20"/>
                <w:szCs w:val="20"/>
              </w:rPr>
              <w:t>1.8%</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国家水资源监控能力建设二期（</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个渠道）农业取水户水量在线监测运行维护费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8</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完成覆盖全市</w:t>
            </w:r>
            <w:r>
              <w:rPr>
                <w:rFonts w:ascii="Times New Roman" w:hAnsi="Times New Roman" w:eastAsia="宋体"/>
                <w:color w:val="000000"/>
                <w:kern w:val="0"/>
                <w:sz w:val="20"/>
                <w:szCs w:val="20"/>
              </w:rPr>
              <w:t>7</w:t>
            </w:r>
            <w:r>
              <w:rPr>
                <w:rFonts w:hint="eastAsia" w:ascii="Times New Roman" w:hAnsi="Times New Roman" w:eastAsia="宋体"/>
                <w:color w:val="000000"/>
                <w:kern w:val="0"/>
                <w:sz w:val="20"/>
                <w:szCs w:val="20"/>
              </w:rPr>
              <w:t>个县（市、区）所有农业取水户渠道水量在线监测的正常运行，确保水量核定的真实性，达到省厅考核全年综合值</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以上的目标值，为达州市实行最严格水资源考核工作做好基础工作</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人工费用</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自动化监测后减少人工费用</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上级满意度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达到省厅考核目标值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按照近年签订合同金额</w:t>
            </w:r>
            <w:r>
              <w:rPr>
                <w:rFonts w:ascii="Times New Roman" w:hAnsi="Times New Roman" w:eastAsia="宋体"/>
                <w:color w:val="000000"/>
                <w:kern w:val="0"/>
                <w:sz w:val="20"/>
                <w:szCs w:val="20"/>
              </w:rPr>
              <w:t>8</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到报率，及时率、完整率全年达到</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以上（按月统计计算全年平均）</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防汛视频系统监测运行及网络租用和设备运行费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19</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19</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确保达州市防汛视频监控系统</w:t>
            </w:r>
            <w:r>
              <w:rPr>
                <w:rFonts w:ascii="Times New Roman" w:hAnsi="Times New Roman" w:eastAsia="宋体"/>
                <w:color w:val="000000"/>
                <w:kern w:val="0"/>
                <w:sz w:val="20"/>
                <w:szCs w:val="20"/>
              </w:rPr>
              <w:t>9</w:t>
            </w:r>
            <w:r>
              <w:rPr>
                <w:rFonts w:hint="eastAsia" w:ascii="Times New Roman" w:hAnsi="Times New Roman" w:eastAsia="宋体"/>
                <w:color w:val="000000"/>
                <w:kern w:val="0"/>
                <w:sz w:val="20"/>
                <w:szCs w:val="20"/>
              </w:rPr>
              <w:t>条连接各县（市、区）和监测站点线路畅通，市防汛会商中心设备运行正常。</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防办信息化设备的日常维护和巡检</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保障防汛视频系统网络正常运行，确保汛期监测预警平台持续有效发挥效益，不断提升监测预警能力。</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市县两级防办满意度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租赁费</w:t>
            </w:r>
            <w:r>
              <w:rPr>
                <w:rFonts w:ascii="Times New Roman" w:hAnsi="Times New Roman" w:eastAsia="宋体"/>
                <w:color w:val="000000"/>
                <w:kern w:val="0"/>
                <w:sz w:val="20"/>
                <w:szCs w:val="20"/>
              </w:rPr>
              <w:t>15.6</w:t>
            </w:r>
            <w:r>
              <w:rPr>
                <w:rFonts w:hint="eastAsia" w:ascii="Times New Roman" w:hAnsi="Times New Roman" w:eastAsia="宋体"/>
                <w:color w:val="000000"/>
                <w:kern w:val="0"/>
                <w:sz w:val="20"/>
                <w:szCs w:val="20"/>
              </w:rPr>
              <w:t>万元，维修（护）费</w:t>
            </w:r>
            <w:r>
              <w:rPr>
                <w:rFonts w:ascii="Times New Roman" w:hAnsi="Times New Roman" w:eastAsia="宋体"/>
                <w:color w:val="000000"/>
                <w:kern w:val="0"/>
                <w:sz w:val="20"/>
                <w:szCs w:val="20"/>
              </w:rPr>
              <w:t>3.4</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水利工程强监管提升行动工作经费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30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30</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对水利工程质量和资金风险、安全生产、水文水资源和节水、农村饮水、工程运行、河湖管理、水土保持及水旱灾害防御等</w:t>
            </w:r>
            <w:r>
              <w:rPr>
                <w:rFonts w:ascii="Times New Roman" w:hAnsi="Times New Roman" w:eastAsia="宋体"/>
                <w:color w:val="000000"/>
                <w:kern w:val="0"/>
                <w:sz w:val="20"/>
                <w:szCs w:val="20"/>
              </w:rPr>
              <w:t>8</w:t>
            </w:r>
            <w:r>
              <w:rPr>
                <w:rFonts w:hint="eastAsia" w:ascii="Times New Roman" w:hAnsi="Times New Roman" w:eastAsia="宋体"/>
                <w:color w:val="000000"/>
                <w:kern w:val="0"/>
                <w:sz w:val="20"/>
                <w:szCs w:val="20"/>
              </w:rPr>
              <w:t>个方面通过四不两直、暗访等方式开展专业监管和日常监管工作，使全市水利工程建设更加安全、运行管理更加高效、涉水涉河管理更加规范，为全市水利高质量发展提供坚强保障</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拟达成效</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使全市水利工程建设更加安全、运行管理更加高效、涉水涉河管理更加规范。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车辆租赁费</w:t>
            </w:r>
            <w:r>
              <w:rPr>
                <w:rFonts w:ascii="Times New Roman" w:hAnsi="Times New Roman" w:eastAsia="宋体"/>
                <w:color w:val="000000"/>
                <w:kern w:val="0"/>
                <w:sz w:val="20"/>
                <w:szCs w:val="20"/>
              </w:rPr>
              <w:t>8</w:t>
            </w:r>
            <w:r>
              <w:rPr>
                <w:rFonts w:hint="eastAsia" w:ascii="Times New Roman" w:hAnsi="Times New Roman" w:eastAsia="宋体"/>
                <w:color w:val="000000"/>
                <w:kern w:val="0"/>
                <w:sz w:val="20"/>
                <w:szCs w:val="20"/>
              </w:rPr>
              <w:t>万元，水利项目第三方质量检测费</w:t>
            </w:r>
            <w:r>
              <w:rPr>
                <w:rFonts w:ascii="Times New Roman" w:hAnsi="Times New Roman" w:eastAsia="宋体"/>
                <w:color w:val="000000"/>
                <w:kern w:val="0"/>
                <w:sz w:val="20"/>
                <w:szCs w:val="20"/>
              </w:rPr>
              <w:t>6</w:t>
            </w:r>
            <w:r>
              <w:rPr>
                <w:rFonts w:hint="eastAsia" w:ascii="Times New Roman" w:hAnsi="Times New Roman" w:eastAsia="宋体"/>
                <w:color w:val="000000"/>
                <w:kern w:val="0"/>
                <w:sz w:val="20"/>
                <w:szCs w:val="20"/>
              </w:rPr>
              <w:t>万元，差旅费</w:t>
            </w:r>
            <w:r>
              <w:rPr>
                <w:rFonts w:ascii="Times New Roman" w:hAnsi="Times New Roman" w:eastAsia="宋体"/>
                <w:color w:val="000000"/>
                <w:kern w:val="0"/>
                <w:sz w:val="20"/>
                <w:szCs w:val="20"/>
              </w:rPr>
              <w:t>16</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国家水资源监控能力建设一期（</w:t>
            </w:r>
            <w:r>
              <w:rPr>
                <w:rFonts w:ascii="Times New Roman" w:hAnsi="Times New Roman" w:eastAsia="宋体"/>
                <w:color w:val="000000"/>
                <w:kern w:val="0"/>
                <w:sz w:val="20"/>
                <w:szCs w:val="20"/>
              </w:rPr>
              <w:t>23</w:t>
            </w:r>
            <w:r>
              <w:rPr>
                <w:rFonts w:hint="eastAsia" w:ascii="Times New Roman" w:hAnsi="Times New Roman" w:eastAsia="宋体"/>
                <w:color w:val="000000"/>
                <w:kern w:val="0"/>
                <w:sz w:val="20"/>
                <w:szCs w:val="20"/>
              </w:rPr>
              <w:t>根取水管道）非农取水户水量在线监测运行维护费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16</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完成覆盖全市</w:t>
            </w:r>
            <w:r>
              <w:rPr>
                <w:rFonts w:ascii="Times New Roman" w:hAnsi="Times New Roman" w:eastAsia="宋体"/>
                <w:color w:val="000000"/>
                <w:kern w:val="0"/>
                <w:sz w:val="20"/>
                <w:szCs w:val="20"/>
              </w:rPr>
              <w:t>7</w:t>
            </w:r>
            <w:r>
              <w:rPr>
                <w:rFonts w:hint="eastAsia" w:ascii="Times New Roman" w:hAnsi="Times New Roman" w:eastAsia="宋体"/>
                <w:color w:val="000000"/>
                <w:kern w:val="0"/>
                <w:sz w:val="20"/>
                <w:szCs w:val="20"/>
              </w:rPr>
              <w:t>个县（市、区）所有非农取水户水量在线监测的正常运行，确保水量核定的真实性，达到省厅考核全年综合值</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以上的目标值，为达州市实行最严格水资源考核工作做好基础工作</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到报率，及时率、完整率全年达到</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以上（按月统计计算全年平均）</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人工费用</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人工费用减少</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上级满意度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达到省厅考核目标值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按照近年签订合同金额</w:t>
            </w:r>
            <w:r>
              <w:rPr>
                <w:rFonts w:ascii="Times New Roman" w:hAnsi="Times New Roman" w:eastAsia="宋体"/>
                <w:color w:val="000000"/>
                <w:kern w:val="0"/>
                <w:sz w:val="20"/>
                <w:szCs w:val="20"/>
              </w:rPr>
              <w:t>16</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罗江库区清漂经费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6</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确保达州市饮用水源地（罗江电站坝前水面）水面漂浮物及时清理。</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按照历年支付经费</w:t>
            </w:r>
            <w:r>
              <w:rPr>
                <w:rFonts w:ascii="Times New Roman" w:hAnsi="Times New Roman" w:eastAsia="宋体"/>
                <w:color w:val="000000"/>
                <w:kern w:val="0"/>
                <w:sz w:val="20"/>
                <w:szCs w:val="20"/>
              </w:rPr>
              <w:t>6</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拟达成效</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做到罗江电站坝前水面干净</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水资源公报编制及相关数据采集</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完成水资源公报编制及相关数据采集，为达州市实行最严格水资源考核工作做好基础工作</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按照近年签订合同金额</w:t>
            </w:r>
            <w:r>
              <w:rPr>
                <w:rFonts w:ascii="Times New Roman" w:hAnsi="Times New Roman" w:eastAsia="宋体"/>
                <w:color w:val="000000"/>
                <w:kern w:val="0"/>
                <w:sz w:val="20"/>
                <w:szCs w:val="20"/>
              </w:rPr>
              <w:t>10</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9</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数据质量</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数据质量达到省厅和审计要求（市政府主要领导任中、离任审计必要资料）</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水利工程验收三年攻坚行动经费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完成全市</w:t>
            </w:r>
            <w:r>
              <w:rPr>
                <w:rFonts w:ascii="Times New Roman" w:hAnsi="Times New Roman" w:eastAsia="宋体"/>
                <w:color w:val="000000"/>
                <w:kern w:val="0"/>
                <w:sz w:val="20"/>
                <w:szCs w:val="20"/>
              </w:rPr>
              <w:t>2021</w:t>
            </w:r>
            <w:r>
              <w:rPr>
                <w:rFonts w:hint="eastAsia" w:ascii="Times New Roman" w:hAnsi="Times New Roman" w:eastAsia="宋体"/>
                <w:color w:val="000000"/>
                <w:kern w:val="0"/>
                <w:sz w:val="20"/>
                <w:szCs w:val="20"/>
              </w:rPr>
              <w:t>年中小河流、农田水利等</w:t>
            </w:r>
            <w:r>
              <w:rPr>
                <w:rFonts w:ascii="Times New Roman" w:hAnsi="Times New Roman" w:eastAsia="宋体"/>
                <w:color w:val="000000"/>
                <w:kern w:val="0"/>
                <w:sz w:val="20"/>
                <w:szCs w:val="20"/>
              </w:rPr>
              <w:t>100</w:t>
            </w:r>
            <w:r>
              <w:rPr>
                <w:rFonts w:hint="eastAsia" w:ascii="Times New Roman" w:hAnsi="Times New Roman" w:eastAsia="宋体"/>
                <w:color w:val="000000"/>
                <w:kern w:val="0"/>
                <w:sz w:val="20"/>
                <w:szCs w:val="20"/>
              </w:rPr>
              <w:t>个项目的竣工验收任务</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上级满意度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达到省厅考核值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车辆租赁费</w:t>
            </w:r>
            <w:r>
              <w:rPr>
                <w:rFonts w:ascii="Times New Roman" w:hAnsi="Times New Roman" w:eastAsia="宋体"/>
                <w:color w:val="000000"/>
                <w:kern w:val="0"/>
                <w:sz w:val="20"/>
                <w:szCs w:val="20"/>
              </w:rPr>
              <w:t>4</w:t>
            </w:r>
            <w:r>
              <w:rPr>
                <w:rFonts w:hint="eastAsia" w:ascii="Times New Roman" w:hAnsi="Times New Roman" w:eastAsia="宋体"/>
                <w:color w:val="000000"/>
                <w:kern w:val="0"/>
                <w:sz w:val="20"/>
                <w:szCs w:val="20"/>
              </w:rPr>
              <w:t>万元，差旅费</w:t>
            </w:r>
            <w:r>
              <w:rPr>
                <w:rFonts w:ascii="Times New Roman" w:hAnsi="Times New Roman" w:eastAsia="宋体"/>
                <w:color w:val="000000"/>
                <w:kern w:val="0"/>
                <w:sz w:val="20"/>
                <w:szCs w:val="20"/>
              </w:rPr>
              <w:t>6</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验收项目数</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完成全市</w:t>
            </w:r>
            <w:r>
              <w:rPr>
                <w:rFonts w:ascii="Times New Roman" w:hAnsi="Times New Roman" w:eastAsia="宋体"/>
                <w:color w:val="000000"/>
                <w:kern w:val="0"/>
                <w:sz w:val="20"/>
                <w:szCs w:val="20"/>
              </w:rPr>
              <w:t>2021</w:t>
            </w:r>
            <w:r>
              <w:rPr>
                <w:rFonts w:hint="eastAsia" w:ascii="Times New Roman" w:hAnsi="Times New Roman" w:eastAsia="宋体"/>
                <w:color w:val="000000"/>
                <w:kern w:val="0"/>
                <w:sz w:val="20"/>
                <w:szCs w:val="20"/>
              </w:rPr>
              <w:t>年中小河流、农田水利等</w:t>
            </w:r>
            <w:r>
              <w:rPr>
                <w:rFonts w:ascii="Times New Roman" w:hAnsi="Times New Roman" w:eastAsia="宋体"/>
                <w:color w:val="000000"/>
                <w:kern w:val="0"/>
                <w:sz w:val="20"/>
                <w:szCs w:val="20"/>
              </w:rPr>
              <w:t>100</w:t>
            </w:r>
            <w:r>
              <w:rPr>
                <w:rFonts w:hint="eastAsia" w:ascii="Times New Roman" w:hAnsi="Times New Roman" w:eastAsia="宋体"/>
                <w:color w:val="000000"/>
                <w:kern w:val="0"/>
                <w:sz w:val="20"/>
                <w:szCs w:val="20"/>
              </w:rPr>
              <w:t>个项目的竣工验收任务</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市总河长办、市河长制办公室日常办公经费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用于开展年度暗访督查工作和年终河长制目标考核工作的费用支出</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机构运转</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确保达州市河长制工作高效运转</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办公费</w:t>
            </w:r>
            <w:r>
              <w:rPr>
                <w:rFonts w:ascii="Times New Roman" w:hAnsi="Times New Roman" w:eastAsia="宋体"/>
                <w:color w:val="000000"/>
                <w:kern w:val="0"/>
                <w:sz w:val="20"/>
                <w:szCs w:val="20"/>
              </w:rPr>
              <w:t>8</w:t>
            </w:r>
            <w:r>
              <w:rPr>
                <w:rFonts w:hint="eastAsia" w:ascii="Times New Roman" w:hAnsi="Times New Roman" w:eastAsia="宋体"/>
                <w:color w:val="000000"/>
                <w:kern w:val="0"/>
                <w:sz w:val="20"/>
                <w:szCs w:val="20"/>
              </w:rPr>
              <w:t>万元、印刷费</w:t>
            </w:r>
            <w:r>
              <w:rPr>
                <w:rFonts w:ascii="Times New Roman" w:hAnsi="Times New Roman" w:eastAsia="宋体"/>
                <w:color w:val="000000"/>
                <w:kern w:val="0"/>
                <w:sz w:val="20"/>
                <w:szCs w:val="20"/>
              </w:rPr>
              <w:t>2</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国控点罗江口水质在线监测运行维护费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17</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17</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完成罗江口饮用水水源地水质在线监测的正常运行，确保水质达标，达到省厅考核全年综合值</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以上的目标值，为达州市实行最严格水资源考核工作做好基础工作</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到报率、及时率、完整率全年达到</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以上（按月统计计算全年平均）</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人工费用</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自动化监测后减少人工费用</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上级满意度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达到省厅考核目标值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按照近年签订合同金额</w:t>
            </w:r>
            <w:r>
              <w:rPr>
                <w:rFonts w:ascii="Times New Roman" w:hAnsi="Times New Roman" w:eastAsia="宋体"/>
                <w:color w:val="000000"/>
                <w:kern w:val="0"/>
                <w:sz w:val="20"/>
                <w:szCs w:val="20"/>
              </w:rPr>
              <w:t>16.5</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生产建设项目水土保持方案审批等工作经费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保障市级生产建设项目水土保持方案审批专家评审费需求，生产建设项目水土保持监督检查工作顺利开展</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生产建设项目水土保持方案审批专家评审费</w:t>
            </w:r>
            <w:r>
              <w:rPr>
                <w:rFonts w:ascii="Times New Roman" w:hAnsi="Times New Roman" w:eastAsia="宋体"/>
                <w:color w:val="000000"/>
                <w:kern w:val="0"/>
                <w:sz w:val="20"/>
                <w:szCs w:val="20"/>
              </w:rPr>
              <w:t>7.2</w:t>
            </w:r>
            <w:r>
              <w:rPr>
                <w:rFonts w:hint="eastAsia" w:ascii="Times New Roman" w:hAnsi="Times New Roman" w:eastAsia="宋体"/>
                <w:color w:val="000000"/>
                <w:kern w:val="0"/>
                <w:sz w:val="20"/>
                <w:szCs w:val="20"/>
              </w:rPr>
              <w:t>万元，水土保持监督检查等工作经费</w:t>
            </w:r>
            <w:r>
              <w:rPr>
                <w:rFonts w:ascii="Times New Roman" w:hAnsi="Times New Roman" w:eastAsia="宋体"/>
                <w:color w:val="000000"/>
                <w:kern w:val="0"/>
                <w:sz w:val="20"/>
                <w:szCs w:val="20"/>
              </w:rPr>
              <w:t>2.8</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加强生产建设项目水土保持预防工作</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督促生产建设项目水土保持设施正常运行，减少人为水土流失</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r>
              <w:rPr>
                <w:rFonts w:hint="eastAsia" w:ascii="Times New Roman" w:hAnsi="Times New Roman" w:eastAsia="宋体"/>
                <w:color w:val="000000"/>
                <w:kern w:val="0"/>
                <w:sz w:val="20"/>
                <w:szCs w:val="20"/>
              </w:rPr>
              <w:t>国家水资源监控能力建设二期（</w:t>
            </w:r>
            <w:r>
              <w:rPr>
                <w:rFonts w:ascii="Times New Roman" w:hAnsi="Times New Roman" w:eastAsia="宋体"/>
                <w:color w:val="000000"/>
                <w:kern w:val="0"/>
                <w:sz w:val="20"/>
                <w:szCs w:val="20"/>
              </w:rPr>
              <w:t>56</w:t>
            </w:r>
            <w:r>
              <w:rPr>
                <w:rFonts w:hint="eastAsia" w:ascii="Times New Roman" w:hAnsi="Times New Roman" w:eastAsia="宋体"/>
                <w:color w:val="000000"/>
                <w:kern w:val="0"/>
                <w:sz w:val="20"/>
                <w:szCs w:val="20"/>
              </w:rPr>
              <w:t>根取水管道）非农取水户水量在线监测运行维护费</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26</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完成覆盖全市</w:t>
            </w:r>
            <w:r>
              <w:rPr>
                <w:rFonts w:ascii="Times New Roman" w:hAnsi="Times New Roman" w:eastAsia="宋体"/>
                <w:color w:val="000000"/>
                <w:kern w:val="0"/>
                <w:sz w:val="20"/>
                <w:szCs w:val="20"/>
              </w:rPr>
              <w:t>7</w:t>
            </w:r>
            <w:r>
              <w:rPr>
                <w:rFonts w:hint="eastAsia" w:ascii="Times New Roman" w:hAnsi="Times New Roman" w:eastAsia="宋体"/>
                <w:color w:val="000000"/>
                <w:kern w:val="0"/>
                <w:sz w:val="20"/>
                <w:szCs w:val="20"/>
              </w:rPr>
              <w:t>个县（市、区）所有非农取水户水量在线监测的正常运行，确保水量核定的真实性，达到省厅考核全年综合值</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以上的目标值，为达州市实行最严格水资源考核工作做好基础工作</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成本测算</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按照近年签订合同金额</w:t>
            </w:r>
            <w:r>
              <w:rPr>
                <w:rFonts w:ascii="Times New Roman" w:hAnsi="Times New Roman" w:eastAsia="宋体"/>
                <w:color w:val="000000"/>
                <w:kern w:val="0"/>
                <w:sz w:val="20"/>
                <w:szCs w:val="20"/>
              </w:rPr>
              <w:t>26</w:t>
            </w:r>
            <w:r>
              <w:rPr>
                <w:rFonts w:hint="eastAsia" w:ascii="Times New Roman" w:hAnsi="Times New Roman" w:eastAsia="宋体"/>
                <w:color w:val="000000"/>
                <w:kern w:val="0"/>
                <w:sz w:val="20"/>
                <w:szCs w:val="20"/>
              </w:rPr>
              <w:t>万元</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人工费用</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自动化监测后减少人工费用</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上级满意度</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达到省厅考核目标值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到报率，及时率、完整率全年达到</w:t>
            </w:r>
            <w:r>
              <w:rPr>
                <w:rFonts w:ascii="Times New Roman" w:hAnsi="Times New Roman" w:eastAsia="宋体"/>
                <w:color w:val="000000"/>
                <w:kern w:val="0"/>
                <w:sz w:val="20"/>
                <w:szCs w:val="20"/>
              </w:rPr>
              <w:t>85%</w:t>
            </w:r>
            <w:r>
              <w:rPr>
                <w:rFonts w:hint="eastAsia" w:ascii="Times New Roman" w:hAnsi="Times New Roman" w:eastAsia="宋体"/>
                <w:color w:val="000000"/>
                <w:kern w:val="0"/>
                <w:sz w:val="20"/>
                <w:szCs w:val="20"/>
              </w:rPr>
              <w:t>以上（按月统计计算全年平均）</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  </w:t>
            </w: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203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完成时间</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当年</w:t>
            </w:r>
            <w:r>
              <w:rPr>
                <w:rFonts w:ascii="Times New Roman" w:hAnsi="Times New Roman" w:eastAsia="宋体"/>
                <w:color w:val="000000"/>
                <w:kern w:val="0"/>
                <w:sz w:val="20"/>
                <w:szCs w:val="20"/>
              </w:rPr>
              <w:t>12</w:t>
            </w:r>
            <w:r>
              <w:rPr>
                <w:rFonts w:hint="eastAsia" w:ascii="Times New Roman" w:hAnsi="Times New Roman" w:eastAsia="宋体"/>
                <w:color w:val="000000"/>
                <w:kern w:val="0"/>
                <w:sz w:val="20"/>
                <w:szCs w:val="20"/>
              </w:rPr>
              <w:t>月底前</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olor w:val="000000"/>
                <w:sz w:val="20"/>
                <w:szCs w:val="20"/>
              </w:rPr>
            </w:pPr>
          </w:p>
        </w:tc>
      </w:tr>
    </w:tbl>
    <w:p>
      <w:pPr>
        <w:pStyle w:val="3"/>
        <w:rPr>
          <w:lang w:val="en-US"/>
        </w:rPr>
      </w:pPr>
    </w:p>
    <w:p>
      <w:pPr>
        <w:pStyle w:val="2"/>
        <w:ind w:left="158" w:firstLine="640"/>
      </w:pPr>
      <w:bookmarkStart w:id="1" w:name="_Toc90375012"/>
      <w:r>
        <w:rPr>
          <w:rFonts w:hint="eastAsia"/>
        </w:rPr>
        <w:t>绩效目标达成情况</w:t>
      </w:r>
      <w:bookmarkEnd w:id="1"/>
    </w:p>
    <w:p>
      <w:pPr>
        <w:pStyle w:val="3"/>
        <w:rPr>
          <w:lang w:val="en-US"/>
        </w:rPr>
      </w:pPr>
      <w:r>
        <w:rPr>
          <w:rFonts w:hint="eastAsia" w:eastAsia="方正仿宋简体"/>
          <w:szCs w:val="32"/>
          <w:lang w:val="en-US"/>
        </w:rPr>
        <w:t>按照</w:t>
      </w:r>
      <w:r>
        <w:rPr>
          <w:rFonts w:eastAsia="方正仿宋简体"/>
          <w:szCs w:val="32"/>
          <w:lang w:val="en-US"/>
        </w:rPr>
        <w:t>“</w:t>
      </w:r>
      <w:r>
        <w:rPr>
          <w:rFonts w:hint="eastAsia" w:eastAsia="方正仿宋简体"/>
          <w:szCs w:val="32"/>
          <w:lang w:val="en-US"/>
        </w:rPr>
        <w:t>谁支出，谁负责</w:t>
      </w:r>
      <w:r>
        <w:rPr>
          <w:rFonts w:eastAsia="方正仿宋简体"/>
          <w:szCs w:val="32"/>
          <w:lang w:val="en-US"/>
        </w:rPr>
        <w:t>”</w:t>
      </w:r>
      <w:r>
        <w:rPr>
          <w:rFonts w:hint="eastAsia" w:eastAsia="方正仿宋简体"/>
          <w:szCs w:val="32"/>
          <w:lang w:val="en-US"/>
        </w:rPr>
        <w:t>的原则，局办公室</w:t>
      </w:r>
      <w:r>
        <w:rPr>
          <w:rFonts w:hint="eastAsia"/>
          <w:lang w:val="en-US"/>
        </w:rPr>
        <w:t>督促业务科室进行绩效监控管理。</w:t>
      </w:r>
      <w:r>
        <w:rPr>
          <w:rFonts w:hint="eastAsia"/>
          <w:kern w:val="2"/>
          <w:lang w:val="en-US"/>
        </w:rPr>
        <w:t>从</w:t>
      </w:r>
      <w:r>
        <w:rPr>
          <w:kern w:val="2"/>
          <w:lang w:val="en-US"/>
        </w:rPr>
        <w:t>1-10</w:t>
      </w:r>
      <w:r>
        <w:rPr>
          <w:rFonts w:hint="eastAsia"/>
          <w:kern w:val="2"/>
          <w:lang w:val="en-US"/>
        </w:rPr>
        <w:t>月份的运行情况看，专项资金绩效运行整体质量较好，部门预算绩效目标任务稳步推进。</w:t>
      </w:r>
    </w:p>
    <w:p>
      <w:pPr>
        <w:pStyle w:val="3"/>
        <w:ind w:firstLine="640" w:firstLineChars="200"/>
        <w:rPr>
          <w:lang w:val="en-US"/>
        </w:rPr>
      </w:pPr>
      <w:r>
        <w:rPr>
          <w:rFonts w:hint="eastAsia"/>
          <w:lang w:val="en-US"/>
        </w:rPr>
        <w:t>根据项目实施情况，选取了</w:t>
      </w:r>
      <w:r>
        <w:rPr>
          <w:lang w:val="en-US"/>
        </w:rPr>
        <w:t>5</w:t>
      </w:r>
      <w:r>
        <w:rPr>
          <w:rFonts w:hint="eastAsia"/>
          <w:lang w:val="en-US"/>
        </w:rPr>
        <w:t>个项目进行重点监控，具体情况如下：</w:t>
      </w:r>
    </w:p>
    <w:p>
      <w:pPr>
        <w:pStyle w:val="3"/>
        <w:rPr>
          <w:lang w:val="en-US"/>
        </w:rPr>
      </w:pPr>
      <w:r>
        <w:rPr>
          <w:lang w:val="en-US"/>
        </w:rPr>
        <w:t>1.</w:t>
      </w:r>
      <w:r>
        <w:rPr>
          <w:rFonts w:hint="eastAsia"/>
          <w:lang w:val="en-US"/>
        </w:rPr>
        <w:t>防汛视频系统监测运行及网络租用和设备运行费。主要是确保达州市防汛视频监控系统</w:t>
      </w:r>
      <w:r>
        <w:rPr>
          <w:lang w:val="en-US"/>
        </w:rPr>
        <w:t>9</w:t>
      </w:r>
      <w:r>
        <w:rPr>
          <w:rFonts w:hint="eastAsia"/>
          <w:lang w:val="en-US"/>
        </w:rPr>
        <w:t>条连接各县（市、区）和监测站点线路畅通及市防汛会商中心设备运行正常。年初预算</w:t>
      </w:r>
      <w:r>
        <w:rPr>
          <w:lang w:val="en-US"/>
        </w:rPr>
        <w:t>19</w:t>
      </w:r>
      <w:r>
        <w:rPr>
          <w:rFonts w:hint="eastAsia"/>
          <w:lang w:val="en-US"/>
        </w:rPr>
        <w:t>万元，为一般公共预算拨款。具体为防汛视频租赁费</w:t>
      </w:r>
      <w:r>
        <w:rPr>
          <w:lang w:val="en-US"/>
        </w:rPr>
        <w:t>15.6</w:t>
      </w:r>
      <w:r>
        <w:rPr>
          <w:rFonts w:hint="eastAsia"/>
          <w:lang w:val="en-US"/>
        </w:rPr>
        <w:t>万元（按月支付</w:t>
      </w:r>
      <w:r>
        <w:rPr>
          <w:lang w:val="en-US"/>
        </w:rPr>
        <w:t>1.3</w:t>
      </w:r>
      <w:r>
        <w:rPr>
          <w:rFonts w:hint="eastAsia"/>
          <w:lang w:val="en-US"/>
        </w:rPr>
        <w:t>万元），以及网络维护费用</w:t>
      </w:r>
      <w:r>
        <w:rPr>
          <w:lang w:val="en-US"/>
        </w:rPr>
        <w:t>3.4</w:t>
      </w:r>
      <w:r>
        <w:rPr>
          <w:rFonts w:hint="eastAsia"/>
          <w:lang w:val="en-US"/>
        </w:rPr>
        <w:t>万元（合同签订金额</w:t>
      </w:r>
      <w:r>
        <w:rPr>
          <w:lang w:val="en-US"/>
        </w:rPr>
        <w:t>9.5</w:t>
      </w:r>
      <w:r>
        <w:rPr>
          <w:rFonts w:hint="eastAsia"/>
          <w:lang w:val="en-US"/>
        </w:rPr>
        <w:t>万元，预算总管控制调减</w:t>
      </w:r>
      <w:r>
        <w:rPr>
          <w:lang w:val="en-US"/>
        </w:rPr>
        <w:t>6.1</w:t>
      </w:r>
      <w:r>
        <w:rPr>
          <w:rFonts w:hint="eastAsia"/>
          <w:lang w:val="en-US"/>
        </w:rPr>
        <w:t>万元）。</w:t>
      </w:r>
      <w:r>
        <w:rPr>
          <w:lang w:val="en-US"/>
        </w:rPr>
        <w:t>1-10</w:t>
      </w:r>
      <w:r>
        <w:rPr>
          <w:rFonts w:hint="eastAsia"/>
          <w:lang w:val="en-US"/>
        </w:rPr>
        <w:t>月份已支付防汛视频租赁费</w:t>
      </w:r>
      <w:r>
        <w:rPr>
          <w:lang w:val="en-US"/>
        </w:rPr>
        <w:t>13</w:t>
      </w:r>
      <w:r>
        <w:rPr>
          <w:rFonts w:hint="eastAsia"/>
          <w:lang w:val="en-US"/>
        </w:rPr>
        <w:t>万元、网络维护费</w:t>
      </w:r>
      <w:r>
        <w:rPr>
          <w:lang w:val="en-US"/>
        </w:rPr>
        <w:t>3.4</w:t>
      </w:r>
      <w:r>
        <w:rPr>
          <w:rFonts w:hint="eastAsia"/>
          <w:lang w:val="en-US"/>
        </w:rPr>
        <w:t>万元。从运行情况看，系统网络运行正常，监测预算平台高质有效。市县两级防办满意度达</w:t>
      </w:r>
      <w:r>
        <w:rPr>
          <w:lang w:val="en-US"/>
        </w:rPr>
        <w:t>100%</w:t>
      </w:r>
      <w:r>
        <w:rPr>
          <w:rFonts w:hint="eastAsia"/>
          <w:lang w:val="en-US"/>
        </w:rPr>
        <w:t>。通过分析，确定能完成即定目标。</w:t>
      </w:r>
    </w:p>
    <w:p>
      <w:pPr>
        <w:pStyle w:val="3"/>
        <w:rPr>
          <w:lang w:val="en-US"/>
        </w:rPr>
      </w:pPr>
      <w:r>
        <w:rPr>
          <w:lang w:val="en-US"/>
        </w:rPr>
        <w:t>2.</w:t>
      </w:r>
      <w:r>
        <w:rPr>
          <w:rFonts w:hint="eastAsia"/>
          <w:lang w:val="en-US"/>
        </w:rPr>
        <w:t>渠县县城水质在线监测运行维护费。主要是完成渠县县城饮用水水源地水质在线监测的正常运行，确保水质达标，达到省厅考核全年综合值</w:t>
      </w:r>
      <w:r>
        <w:rPr>
          <w:lang w:val="en-US"/>
        </w:rPr>
        <w:t>85%</w:t>
      </w:r>
      <w:r>
        <w:rPr>
          <w:rFonts w:hint="eastAsia"/>
          <w:lang w:val="en-US"/>
        </w:rPr>
        <w:t>以上的目标值，为达州市实行最严格水资源考核工作做好基础工作。年初预算</w:t>
      </w:r>
      <w:r>
        <w:rPr>
          <w:lang w:val="en-US"/>
        </w:rPr>
        <w:t>15</w:t>
      </w:r>
      <w:r>
        <w:rPr>
          <w:rFonts w:hint="eastAsia"/>
          <w:lang w:val="en-US"/>
        </w:rPr>
        <w:t>万元，为一般公共预算拨款，按照近年来签订合同金额测算成本费用（实际合同金额</w:t>
      </w:r>
      <w:r>
        <w:rPr>
          <w:lang w:val="en-US"/>
        </w:rPr>
        <w:t>15.9</w:t>
      </w:r>
      <w:r>
        <w:rPr>
          <w:rFonts w:hint="eastAsia"/>
          <w:lang w:val="en-US"/>
        </w:rPr>
        <w:t>万元，预算总额控制调减</w:t>
      </w:r>
      <w:r>
        <w:rPr>
          <w:lang w:val="en-US"/>
        </w:rPr>
        <w:t>0.9</w:t>
      </w:r>
      <w:r>
        <w:rPr>
          <w:rFonts w:hint="eastAsia"/>
          <w:lang w:val="en-US"/>
        </w:rPr>
        <w:t>万元）。</w:t>
      </w:r>
      <w:r>
        <w:rPr>
          <w:lang w:val="en-US"/>
        </w:rPr>
        <w:t>1-10</w:t>
      </w:r>
      <w:r>
        <w:rPr>
          <w:rFonts w:hint="eastAsia"/>
          <w:lang w:val="en-US"/>
        </w:rPr>
        <w:t>月份已按合同约定支付上半年费用</w:t>
      </w:r>
      <w:r>
        <w:rPr>
          <w:lang w:val="en-US"/>
        </w:rPr>
        <w:t>7.95</w:t>
      </w:r>
      <w:r>
        <w:rPr>
          <w:rFonts w:hint="eastAsia"/>
          <w:lang w:val="en-US"/>
        </w:rPr>
        <w:t>万元。从运行情况看，故障处理合格率</w:t>
      </w:r>
      <w:r>
        <w:rPr>
          <w:lang w:val="en-US"/>
        </w:rPr>
        <w:t>100%</w:t>
      </w:r>
      <w:r>
        <w:rPr>
          <w:rFonts w:hint="eastAsia"/>
          <w:lang w:val="en-US"/>
        </w:rPr>
        <w:t>，故障处理时间在</w:t>
      </w:r>
      <w:r>
        <w:rPr>
          <w:lang w:val="en-US"/>
        </w:rPr>
        <w:t>24</w:t>
      </w:r>
      <w:r>
        <w:rPr>
          <w:rFonts w:hint="eastAsia"/>
          <w:lang w:val="en-US"/>
        </w:rPr>
        <w:t>小时之内，费用支付监督机制健全，各月指标都达到或超过省厅考核值，业主满意度</w:t>
      </w:r>
      <w:r>
        <w:rPr>
          <w:lang w:val="en-US"/>
        </w:rPr>
        <w:t>100%</w:t>
      </w:r>
      <w:r>
        <w:rPr>
          <w:rFonts w:hint="eastAsia"/>
          <w:lang w:val="en-US"/>
        </w:rPr>
        <w:t>。通过分析，确定能完成既定目标。</w:t>
      </w:r>
    </w:p>
    <w:p>
      <w:pPr>
        <w:pStyle w:val="3"/>
        <w:rPr>
          <w:lang w:val="en-US"/>
        </w:rPr>
      </w:pPr>
      <w:r>
        <w:rPr>
          <w:lang w:val="en-US"/>
        </w:rPr>
        <w:t>3.</w:t>
      </w:r>
      <w:r>
        <w:rPr>
          <w:rFonts w:hint="eastAsia"/>
          <w:lang w:val="en-US"/>
        </w:rPr>
        <w:t>国控点罗江口水质在线监测运行维护费。主要是完成罗江口饮用水水源地水质在线监测的正常运行，确保水质达标，达到省厅考核全年综合值</w:t>
      </w:r>
      <w:r>
        <w:rPr>
          <w:lang w:val="en-US"/>
        </w:rPr>
        <w:t>85%</w:t>
      </w:r>
      <w:r>
        <w:rPr>
          <w:rFonts w:hint="eastAsia"/>
          <w:lang w:val="en-US"/>
        </w:rPr>
        <w:t>以上的目标值，为达州市实行最严格水资源考核工作做好基础工作。年初预算</w:t>
      </w:r>
      <w:r>
        <w:rPr>
          <w:lang w:val="en-US"/>
        </w:rPr>
        <w:t>16.5</w:t>
      </w:r>
      <w:r>
        <w:rPr>
          <w:rFonts w:hint="eastAsia"/>
          <w:lang w:val="en-US"/>
        </w:rPr>
        <w:t>万元，为一般公共预算拨款，按照近年来签订合同金额测算成本费用。</w:t>
      </w:r>
      <w:r>
        <w:rPr>
          <w:lang w:val="en-US"/>
        </w:rPr>
        <w:t>1-10</w:t>
      </w:r>
      <w:r>
        <w:rPr>
          <w:rFonts w:hint="eastAsia"/>
          <w:lang w:val="en-US"/>
        </w:rPr>
        <w:t>月份已按合同约定支付</w:t>
      </w:r>
      <w:r>
        <w:rPr>
          <w:lang w:val="en-US"/>
        </w:rPr>
        <w:t>5.5</w:t>
      </w:r>
      <w:r>
        <w:rPr>
          <w:rFonts w:hint="eastAsia"/>
          <w:lang w:val="en-US"/>
        </w:rPr>
        <w:t>万元。从运行情况看，故障处理合格率</w:t>
      </w:r>
      <w:r>
        <w:rPr>
          <w:lang w:val="en-US"/>
        </w:rPr>
        <w:t>100%</w:t>
      </w:r>
      <w:r>
        <w:rPr>
          <w:rFonts w:hint="eastAsia"/>
          <w:lang w:val="en-US"/>
        </w:rPr>
        <w:t>，故障处理时间在</w:t>
      </w:r>
      <w:r>
        <w:rPr>
          <w:lang w:val="en-US"/>
        </w:rPr>
        <w:t>24</w:t>
      </w:r>
      <w:r>
        <w:rPr>
          <w:rFonts w:hint="eastAsia"/>
          <w:lang w:val="en-US"/>
        </w:rPr>
        <w:t>小时之内，费用支付监督机制健全，各月指标都达到或超过省厅考核值，业主满意度</w:t>
      </w:r>
      <w:r>
        <w:rPr>
          <w:lang w:val="en-US"/>
        </w:rPr>
        <w:t>100%</w:t>
      </w:r>
      <w:r>
        <w:rPr>
          <w:rFonts w:hint="eastAsia"/>
          <w:lang w:val="en-US"/>
        </w:rPr>
        <w:t>。通过分析，确定能完成既定目标。</w:t>
      </w:r>
    </w:p>
    <w:p>
      <w:pPr>
        <w:pStyle w:val="3"/>
        <w:rPr>
          <w:lang w:val="en-US"/>
        </w:rPr>
      </w:pPr>
      <w:r>
        <w:rPr>
          <w:lang w:val="en-US"/>
        </w:rPr>
        <w:t>4.</w:t>
      </w:r>
      <w:r>
        <w:rPr>
          <w:rFonts w:hint="eastAsia"/>
          <w:lang w:val="en-US"/>
        </w:rPr>
        <w:t>国家水资源监控能力建设二期（</w:t>
      </w:r>
      <w:r>
        <w:rPr>
          <w:lang w:val="en-US"/>
        </w:rPr>
        <w:t>12</w:t>
      </w:r>
      <w:r>
        <w:rPr>
          <w:rFonts w:hint="eastAsia"/>
          <w:lang w:val="en-US"/>
        </w:rPr>
        <w:t>个渠道）农业取水户水量在线监测运行维护费。主要是完成覆盖全市</w:t>
      </w:r>
      <w:r>
        <w:rPr>
          <w:lang w:val="en-US"/>
        </w:rPr>
        <w:t>7</w:t>
      </w:r>
      <w:r>
        <w:rPr>
          <w:rFonts w:hint="eastAsia"/>
          <w:lang w:val="en-US"/>
        </w:rPr>
        <w:t>个县（市、区）所有农业取水户渠道水量在线监测的正常运行，确保水量核定的真实性，达到省厅考核全年综合值</w:t>
      </w:r>
      <w:r>
        <w:rPr>
          <w:lang w:val="en-US"/>
        </w:rPr>
        <w:t>85%</w:t>
      </w:r>
      <w:r>
        <w:rPr>
          <w:rFonts w:hint="eastAsia"/>
          <w:lang w:val="en-US"/>
        </w:rPr>
        <w:t>以上的目标值，为达州市实行最严格水资源考核工作做好基础工作。年初预算</w:t>
      </w:r>
      <w:r>
        <w:rPr>
          <w:lang w:val="en-US"/>
        </w:rPr>
        <w:t>8</w:t>
      </w:r>
      <w:r>
        <w:rPr>
          <w:rFonts w:hint="eastAsia"/>
          <w:lang w:val="en-US"/>
        </w:rPr>
        <w:t>万元，为一般公共预算拨款，按照近年来签订合同金额测算成本费用。</w:t>
      </w:r>
      <w:r>
        <w:rPr>
          <w:lang w:val="en-US"/>
        </w:rPr>
        <w:t>1-10</w:t>
      </w:r>
      <w:r>
        <w:rPr>
          <w:rFonts w:hint="eastAsia"/>
          <w:lang w:val="en-US"/>
        </w:rPr>
        <w:t>月份已按合同约定支付</w:t>
      </w:r>
      <w:r>
        <w:rPr>
          <w:lang w:val="en-US"/>
        </w:rPr>
        <w:t>3.975</w:t>
      </w:r>
      <w:r>
        <w:rPr>
          <w:rFonts w:hint="eastAsia"/>
          <w:lang w:val="en-US"/>
        </w:rPr>
        <w:t>万元。从运行情况看，故障处理合格率</w:t>
      </w:r>
      <w:r>
        <w:rPr>
          <w:lang w:val="en-US"/>
        </w:rPr>
        <w:t>100%</w:t>
      </w:r>
      <w:r>
        <w:rPr>
          <w:rFonts w:hint="eastAsia"/>
          <w:lang w:val="en-US"/>
        </w:rPr>
        <w:t>，故障处理时间在</w:t>
      </w:r>
      <w:r>
        <w:rPr>
          <w:lang w:val="en-US"/>
        </w:rPr>
        <w:t>24</w:t>
      </w:r>
      <w:r>
        <w:rPr>
          <w:rFonts w:hint="eastAsia"/>
          <w:lang w:val="en-US"/>
        </w:rPr>
        <w:t>小时之内，费用支付监督机制健全，各月指标都达到或超过省厅考核值，业主满意度</w:t>
      </w:r>
      <w:r>
        <w:rPr>
          <w:lang w:val="en-US"/>
        </w:rPr>
        <w:t>100%</w:t>
      </w:r>
      <w:r>
        <w:rPr>
          <w:rFonts w:hint="eastAsia"/>
          <w:lang w:val="en-US"/>
        </w:rPr>
        <w:t>。通过分析，确定能完成既定目标。</w:t>
      </w:r>
    </w:p>
    <w:p>
      <w:pPr>
        <w:pStyle w:val="3"/>
        <w:rPr>
          <w:lang w:val="en-US"/>
        </w:rPr>
      </w:pPr>
      <w:r>
        <w:rPr>
          <w:lang w:val="en-US"/>
        </w:rPr>
        <w:t>5.</w:t>
      </w:r>
      <w:r>
        <w:rPr>
          <w:rFonts w:hint="eastAsia"/>
          <w:lang w:val="en-US"/>
        </w:rPr>
        <w:t>国家水资源监控能力建设二期（</w:t>
      </w:r>
      <w:r>
        <w:rPr>
          <w:lang w:val="en-US"/>
        </w:rPr>
        <w:t>56</w:t>
      </w:r>
      <w:r>
        <w:rPr>
          <w:rFonts w:hint="eastAsia"/>
          <w:lang w:val="en-US"/>
        </w:rPr>
        <w:t>根取水管道）非农取水户水量在线监测运行维护费。主要是完成覆盖全市</w:t>
      </w:r>
      <w:r>
        <w:rPr>
          <w:lang w:val="en-US"/>
        </w:rPr>
        <w:t>7</w:t>
      </w:r>
      <w:r>
        <w:rPr>
          <w:rFonts w:hint="eastAsia"/>
          <w:lang w:val="en-US"/>
        </w:rPr>
        <w:t>个县（市、区）所有非农取水户水量在线监测的正常运行，确保水量核定的真实性，达到省厅考核全年综合值</w:t>
      </w:r>
      <w:r>
        <w:rPr>
          <w:lang w:val="en-US"/>
        </w:rPr>
        <w:t>85%</w:t>
      </w:r>
      <w:r>
        <w:rPr>
          <w:rFonts w:hint="eastAsia"/>
          <w:lang w:val="en-US"/>
        </w:rPr>
        <w:t>以上的目标值，为达州市实行最严格水资源考核工作做好基础工作。年初预算</w:t>
      </w:r>
      <w:r>
        <w:rPr>
          <w:lang w:val="en-US"/>
        </w:rPr>
        <w:t>26</w:t>
      </w:r>
      <w:r>
        <w:rPr>
          <w:rFonts w:hint="eastAsia"/>
          <w:lang w:val="en-US"/>
        </w:rPr>
        <w:t>元，为一般公共预算拨款，按照近年来签订合同金额测算成本费用。</w:t>
      </w:r>
      <w:r>
        <w:rPr>
          <w:lang w:val="en-US"/>
        </w:rPr>
        <w:t>1-10</w:t>
      </w:r>
      <w:r>
        <w:rPr>
          <w:rFonts w:hint="eastAsia"/>
          <w:lang w:val="en-US"/>
        </w:rPr>
        <w:t>月份已按合同约定支付上半年费用</w:t>
      </w:r>
      <w:r>
        <w:rPr>
          <w:lang w:val="en-US"/>
        </w:rPr>
        <w:t>12.975</w:t>
      </w:r>
      <w:r>
        <w:rPr>
          <w:rFonts w:hint="eastAsia"/>
          <w:lang w:val="en-US"/>
        </w:rPr>
        <w:t>万元。从运行情况看，故障处理合格率</w:t>
      </w:r>
      <w:r>
        <w:rPr>
          <w:lang w:val="en-US"/>
        </w:rPr>
        <w:t>100%</w:t>
      </w:r>
      <w:r>
        <w:rPr>
          <w:rFonts w:hint="eastAsia"/>
          <w:lang w:val="en-US"/>
        </w:rPr>
        <w:t>，故障处理时间在</w:t>
      </w:r>
      <w:r>
        <w:rPr>
          <w:lang w:val="en-US"/>
        </w:rPr>
        <w:t>24</w:t>
      </w:r>
      <w:r>
        <w:rPr>
          <w:rFonts w:hint="eastAsia"/>
          <w:lang w:val="en-US"/>
        </w:rPr>
        <w:t>小时之内，费用支付监督机制健全，各月指标都达到或超过省厅考核值，业主满意度</w:t>
      </w:r>
      <w:r>
        <w:rPr>
          <w:lang w:val="en-US"/>
        </w:rPr>
        <w:t>100%</w:t>
      </w:r>
      <w:r>
        <w:rPr>
          <w:rFonts w:hint="eastAsia"/>
          <w:lang w:val="en-US"/>
        </w:rPr>
        <w:t>。通过分析，确定能完成既定目标。</w:t>
      </w:r>
    </w:p>
    <w:p>
      <w:pPr>
        <w:pStyle w:val="2"/>
        <w:ind w:left="158" w:firstLine="640"/>
      </w:pPr>
      <w:bookmarkStart w:id="2" w:name="_Toc90375019"/>
      <w:r>
        <w:rPr>
          <w:rFonts w:hint="eastAsia"/>
        </w:rPr>
        <w:t>存在的问题</w:t>
      </w:r>
      <w:bookmarkEnd w:id="2"/>
    </w:p>
    <w:p>
      <w:pPr>
        <w:pStyle w:val="3"/>
        <w:rPr>
          <w:lang w:val="en-US"/>
        </w:rPr>
      </w:pPr>
      <w:r>
        <w:rPr>
          <w:rFonts w:hint="eastAsia"/>
          <w:lang w:val="en-US"/>
        </w:rPr>
        <w:t>主要是年初预算保障不足。防汛视频网络维护费用预算</w:t>
      </w:r>
      <w:r>
        <w:rPr>
          <w:lang w:val="en-US"/>
        </w:rPr>
        <w:t>3.4</w:t>
      </w:r>
      <w:r>
        <w:rPr>
          <w:rFonts w:hint="eastAsia"/>
          <w:lang w:val="en-US"/>
        </w:rPr>
        <w:t>万元，实际合同金额</w:t>
      </w:r>
      <w:r>
        <w:rPr>
          <w:lang w:val="en-US"/>
        </w:rPr>
        <w:t>9.5</w:t>
      </w:r>
      <w:r>
        <w:rPr>
          <w:rFonts w:hint="eastAsia"/>
          <w:lang w:val="en-US"/>
        </w:rPr>
        <w:t>万元；渠县县城水质在线监测运行维护费预算金额</w:t>
      </w:r>
      <w:r>
        <w:rPr>
          <w:lang w:val="en-US"/>
        </w:rPr>
        <w:t>15</w:t>
      </w:r>
      <w:r>
        <w:rPr>
          <w:rFonts w:hint="eastAsia"/>
          <w:lang w:val="en-US"/>
        </w:rPr>
        <w:t>万元，实际合同金额</w:t>
      </w:r>
      <w:r>
        <w:rPr>
          <w:lang w:val="en-US"/>
        </w:rPr>
        <w:t>15.9</w:t>
      </w:r>
      <w:r>
        <w:rPr>
          <w:rFonts w:hint="eastAsia"/>
          <w:lang w:val="en-US"/>
        </w:rPr>
        <w:t>万元。</w:t>
      </w:r>
    </w:p>
    <w:p>
      <w:pPr>
        <w:pStyle w:val="2"/>
        <w:numPr>
          <w:ilvl w:val="0"/>
          <w:numId w:val="0"/>
        </w:numPr>
        <w:ind w:left="998" w:leftChars="275"/>
      </w:pPr>
      <w:r>
        <w:rPr>
          <w:rFonts w:hint="eastAsia"/>
          <w:lang w:val="en-US"/>
        </w:rPr>
        <w:t>四、</w:t>
      </w:r>
      <w:r>
        <w:rPr>
          <w:rFonts w:hint="eastAsia"/>
        </w:rPr>
        <w:t>改进的措施</w:t>
      </w:r>
    </w:p>
    <w:p>
      <w:pPr>
        <w:widowControl/>
        <w:adjustRightInd w:val="0"/>
        <w:snapToGrid w:val="0"/>
        <w:spacing w:line="578" w:lineRule="exact"/>
        <w:ind w:firstLine="640" w:firstLineChars="200"/>
        <w:jc w:val="left"/>
        <w:rPr>
          <w:rFonts w:ascii="Times New Roman" w:hAnsi="Times New Roman" w:eastAsia="仿宋_GB2312"/>
          <w:sz w:val="32"/>
          <w:szCs w:val="28"/>
          <w:lang w:val="zh-CN"/>
        </w:rPr>
      </w:pPr>
      <w:bookmarkStart w:id="3" w:name="_Toc90375022"/>
      <w:bookmarkEnd w:id="3"/>
      <w:r>
        <w:rPr>
          <w:rFonts w:hint="eastAsia" w:ascii="Times New Roman" w:hAnsi="Times New Roman" w:eastAsia="仿宋_GB2312"/>
          <w:sz w:val="32"/>
          <w:szCs w:val="28"/>
          <w:lang w:val="zh-CN"/>
        </w:rPr>
        <w:t>加强与财政部门的沟通协调，同时进一步加强项目跟踪管理，开展项目绩效评价，确保项目绩效目标的完成。</w:t>
      </w:r>
    </w:p>
    <w:p>
      <w:pPr>
        <w:widowControl/>
        <w:adjustRightInd w:val="0"/>
        <w:snapToGrid w:val="0"/>
        <w:spacing w:line="578" w:lineRule="exact"/>
        <w:ind w:firstLine="640" w:firstLineChars="200"/>
        <w:jc w:val="left"/>
        <w:rPr>
          <w:rFonts w:ascii="Times New Roman" w:hAnsi="Times New Roman" w:eastAsia="仿宋_GB2312"/>
          <w:sz w:val="32"/>
          <w:szCs w:val="28"/>
          <w:lang w:val="zh-CN"/>
        </w:rPr>
      </w:pPr>
    </w:p>
    <w:p>
      <w:pPr>
        <w:widowControl/>
        <w:adjustRightInd w:val="0"/>
        <w:snapToGrid w:val="0"/>
        <w:spacing w:line="578" w:lineRule="exact"/>
        <w:jc w:val="left"/>
        <w:rPr>
          <w:rFonts w:ascii="Times New Roman" w:hAnsi="Times New Roman" w:eastAsia="仿宋_GB2312"/>
          <w:sz w:val="32"/>
          <w:szCs w:val="28"/>
        </w:rPr>
      </w:pPr>
      <w:r>
        <w:rPr>
          <w:rFonts w:hint="eastAsia" w:ascii="Times New Roman" w:hAnsi="Times New Roman" w:eastAsia="仿宋_GB2312"/>
          <w:sz w:val="32"/>
          <w:szCs w:val="28"/>
        </w:rPr>
        <w:t>附件：</w:t>
      </w:r>
      <w:r>
        <w:rPr>
          <w:rFonts w:ascii="Times New Roman" w:hAnsi="Times New Roman" w:eastAsia="仿宋_GB2312"/>
          <w:sz w:val="32"/>
          <w:szCs w:val="28"/>
        </w:rPr>
        <w:t>1.</w:t>
      </w:r>
      <w:r>
        <w:rPr>
          <w:rFonts w:hint="eastAsia" w:ascii="Times New Roman" w:hAnsi="Times New Roman" w:eastAsia="仿宋_GB2312"/>
          <w:sz w:val="32"/>
          <w:szCs w:val="28"/>
        </w:rPr>
        <w:t>防汛视频系统监测运行及网络租用和设备运行费预算绩效监控分析表；</w:t>
      </w:r>
    </w:p>
    <w:p>
      <w:pPr>
        <w:widowControl/>
        <w:adjustRightInd w:val="0"/>
        <w:snapToGrid w:val="0"/>
        <w:spacing w:line="578" w:lineRule="exact"/>
        <w:ind w:firstLine="320" w:firstLineChars="100"/>
        <w:jc w:val="left"/>
        <w:rPr>
          <w:rFonts w:ascii="Times New Roman" w:hAnsi="Times New Roman" w:eastAsia="仿宋_GB2312"/>
          <w:sz w:val="32"/>
          <w:szCs w:val="28"/>
        </w:rPr>
      </w:pPr>
      <w:r>
        <w:rPr>
          <w:rFonts w:ascii="Times New Roman" w:hAnsi="Times New Roman" w:eastAsia="仿宋_GB2312"/>
          <w:sz w:val="32"/>
          <w:szCs w:val="28"/>
        </w:rPr>
        <w:t xml:space="preserve">    2.</w:t>
      </w:r>
      <w:r>
        <w:rPr>
          <w:rFonts w:hint="eastAsia" w:ascii="Times New Roman" w:hAnsi="Times New Roman" w:eastAsia="仿宋_GB2312"/>
          <w:sz w:val="32"/>
          <w:szCs w:val="28"/>
        </w:rPr>
        <w:t>渠县县城水质在线监测运行维护费预算绩效监控分析表；</w:t>
      </w:r>
    </w:p>
    <w:p>
      <w:pPr>
        <w:widowControl/>
        <w:adjustRightInd w:val="0"/>
        <w:snapToGrid w:val="0"/>
        <w:spacing w:line="578" w:lineRule="exact"/>
        <w:ind w:firstLine="320" w:firstLineChars="100"/>
        <w:jc w:val="left"/>
        <w:rPr>
          <w:rFonts w:ascii="Times New Roman" w:hAnsi="Times New Roman" w:eastAsia="仿宋_GB2312"/>
          <w:sz w:val="32"/>
          <w:szCs w:val="28"/>
        </w:rPr>
      </w:pPr>
      <w:r>
        <w:rPr>
          <w:rFonts w:ascii="Times New Roman" w:hAnsi="Times New Roman" w:eastAsia="仿宋_GB2312"/>
          <w:sz w:val="32"/>
          <w:szCs w:val="28"/>
        </w:rPr>
        <w:t xml:space="preserve">    3.</w:t>
      </w:r>
      <w:r>
        <w:rPr>
          <w:rFonts w:hint="eastAsia" w:ascii="Times New Roman" w:hAnsi="Times New Roman" w:eastAsia="仿宋_GB2312"/>
          <w:sz w:val="32"/>
          <w:szCs w:val="28"/>
        </w:rPr>
        <w:t>国控点罗江口水质在线监测运行维护费预算绩效监控分析表；</w:t>
      </w:r>
    </w:p>
    <w:p>
      <w:pPr>
        <w:widowControl/>
        <w:adjustRightInd w:val="0"/>
        <w:snapToGrid w:val="0"/>
        <w:spacing w:line="578" w:lineRule="exact"/>
        <w:ind w:firstLine="320" w:firstLineChars="100"/>
        <w:jc w:val="left"/>
        <w:rPr>
          <w:rFonts w:ascii="Times New Roman" w:hAnsi="Times New Roman" w:eastAsia="仿宋_GB2312"/>
          <w:sz w:val="32"/>
          <w:szCs w:val="28"/>
        </w:rPr>
      </w:pPr>
      <w:r>
        <w:rPr>
          <w:rFonts w:ascii="Times New Roman" w:hAnsi="Times New Roman" w:eastAsia="仿宋_GB2312"/>
          <w:sz w:val="32"/>
          <w:szCs w:val="28"/>
        </w:rPr>
        <w:t xml:space="preserve">    4.</w:t>
      </w:r>
      <w:r>
        <w:rPr>
          <w:rFonts w:hint="eastAsia" w:ascii="Times New Roman" w:hAnsi="Times New Roman" w:eastAsia="仿宋_GB2312"/>
          <w:sz w:val="32"/>
          <w:szCs w:val="28"/>
        </w:rPr>
        <w:t>国家水资源监控能力建设二期（</w:t>
      </w:r>
      <w:r>
        <w:rPr>
          <w:rFonts w:ascii="Times New Roman" w:hAnsi="Times New Roman" w:eastAsia="仿宋_GB2312"/>
          <w:sz w:val="32"/>
          <w:szCs w:val="28"/>
        </w:rPr>
        <w:t>12</w:t>
      </w:r>
      <w:r>
        <w:rPr>
          <w:rFonts w:hint="eastAsia" w:ascii="Times New Roman" w:hAnsi="Times New Roman" w:eastAsia="仿宋_GB2312"/>
          <w:sz w:val="32"/>
          <w:szCs w:val="28"/>
        </w:rPr>
        <w:t>个渠道）农业取水户水量在线监测运行维护费预算绩效监控分析表；</w:t>
      </w:r>
    </w:p>
    <w:p>
      <w:pPr>
        <w:widowControl/>
        <w:adjustRightInd w:val="0"/>
        <w:snapToGrid w:val="0"/>
        <w:spacing w:line="578" w:lineRule="exact"/>
        <w:ind w:firstLine="960" w:firstLineChars="300"/>
        <w:jc w:val="left"/>
        <w:rPr>
          <w:rFonts w:ascii="Times New Roman" w:hAnsi="Times New Roman" w:eastAsia="仿宋_GB2312"/>
          <w:sz w:val="32"/>
          <w:szCs w:val="28"/>
        </w:rPr>
      </w:pPr>
      <w:r>
        <w:rPr>
          <w:rFonts w:ascii="Times New Roman" w:hAnsi="Times New Roman" w:eastAsia="仿宋_GB2312"/>
          <w:sz w:val="32"/>
          <w:szCs w:val="28"/>
        </w:rPr>
        <w:t>5.</w:t>
      </w:r>
      <w:r>
        <w:rPr>
          <w:rFonts w:hint="eastAsia" w:ascii="Times New Roman" w:hAnsi="Times New Roman" w:eastAsia="仿宋_GB2312"/>
          <w:sz w:val="32"/>
          <w:szCs w:val="28"/>
        </w:rPr>
        <w:t>国家水资源监控能力建设二期（</w:t>
      </w:r>
      <w:r>
        <w:rPr>
          <w:rFonts w:ascii="Times New Roman" w:hAnsi="Times New Roman" w:eastAsia="仿宋_GB2312"/>
          <w:sz w:val="32"/>
          <w:szCs w:val="28"/>
        </w:rPr>
        <w:t>56</w:t>
      </w:r>
      <w:r>
        <w:rPr>
          <w:rFonts w:hint="eastAsia" w:ascii="Times New Roman" w:hAnsi="Times New Roman" w:eastAsia="仿宋_GB2312"/>
          <w:sz w:val="32"/>
          <w:szCs w:val="28"/>
        </w:rPr>
        <w:t>根取水管道）非农取水户水量在线监测运行维护费预算绩效监控分析表；</w:t>
      </w:r>
    </w:p>
    <w:p>
      <w:pPr>
        <w:widowControl/>
        <w:adjustRightInd w:val="0"/>
        <w:snapToGrid w:val="0"/>
        <w:spacing w:line="578" w:lineRule="exact"/>
        <w:jc w:val="left"/>
        <w:rPr>
          <w:rFonts w:ascii="Times New Roman" w:hAnsi="Times New Roman" w:eastAsia="仿宋_GB2312"/>
        </w:rPr>
      </w:pPr>
    </w:p>
    <w:p>
      <w:pPr>
        <w:pStyle w:val="3"/>
        <w:rPr>
          <w:lang w:val="en-US"/>
        </w:rPr>
      </w:pPr>
      <w:r>
        <w:rPr>
          <w:lang w:val="en-US"/>
        </w:rPr>
        <w:t xml:space="preserve">                          </w:t>
      </w:r>
    </w:p>
    <w:p>
      <w:pPr>
        <w:pStyle w:val="3"/>
        <w:ind w:firstLine="4800" w:firstLineChars="1500"/>
        <w:rPr>
          <w:lang w:val="en-US"/>
        </w:rPr>
      </w:pPr>
      <w:r>
        <w:rPr>
          <w:rFonts w:hint="eastAsia"/>
          <w:lang w:val="en-US"/>
        </w:rPr>
        <w:t>达州市水务局</w:t>
      </w:r>
    </w:p>
    <w:p>
      <w:pPr>
        <w:pStyle w:val="3"/>
        <w:rPr>
          <w:lang w:val="en-US"/>
        </w:rPr>
      </w:pPr>
      <w:r>
        <w:rPr>
          <w:lang w:val="en-US"/>
        </w:rPr>
        <w:t xml:space="preserve">                        2021</w:t>
      </w:r>
      <w:r>
        <w:rPr>
          <w:rFonts w:hint="eastAsia"/>
          <w:lang w:val="en-US"/>
        </w:rPr>
        <w:t>年</w:t>
      </w:r>
      <w:r>
        <w:rPr>
          <w:lang w:val="en-US"/>
        </w:rPr>
        <w:t>12</w:t>
      </w:r>
      <w:r>
        <w:rPr>
          <w:rFonts w:hint="eastAsia"/>
          <w:lang w:val="en-US"/>
        </w:rPr>
        <w:t>月</w:t>
      </w:r>
      <w:r>
        <w:rPr>
          <w:lang w:val="en-US"/>
        </w:rPr>
        <w:t>17</w:t>
      </w:r>
      <w:r>
        <w:rPr>
          <w:rFonts w:hint="eastAsia"/>
          <w:lang w:val="en-US"/>
        </w:rPr>
        <w:t>日</w:t>
      </w:r>
    </w:p>
    <w:sectPr>
      <w:footerReference r:id="rId3" w:type="default"/>
      <w:footerReference r:id="rId4" w:type="even"/>
      <w:pgSz w:w="11906" w:h="16838"/>
      <w:pgMar w:top="2098" w:right="1474" w:bottom="1985"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eastAsia="宋体"/>
        <w:sz w:val="28"/>
        <w:szCs w:val="28"/>
      </w:rPr>
    </w:pPr>
    <w:r>
      <w:rPr>
        <w:rStyle w:val="15"/>
        <w:rFonts w:ascii="宋体" w:eastAsia="宋体"/>
        <w:sz w:val="28"/>
        <w:szCs w:val="28"/>
      </w:rPr>
      <w:fldChar w:fldCharType="begin"/>
    </w:r>
    <w:r>
      <w:rPr>
        <w:rStyle w:val="15"/>
        <w:rFonts w:ascii="宋体" w:eastAsia="宋体"/>
        <w:sz w:val="28"/>
        <w:szCs w:val="28"/>
      </w:rPr>
      <w:instrText xml:space="preserve">PAGE  </w:instrText>
    </w:r>
    <w:r>
      <w:rPr>
        <w:rStyle w:val="15"/>
        <w:rFonts w:ascii="宋体" w:eastAsia="宋体"/>
        <w:sz w:val="28"/>
        <w:szCs w:val="28"/>
      </w:rPr>
      <w:fldChar w:fldCharType="separate"/>
    </w:r>
    <w:r>
      <w:rPr>
        <w:rStyle w:val="15"/>
        <w:rFonts w:ascii="宋体" w:eastAsia="宋体"/>
        <w:sz w:val="28"/>
        <w:szCs w:val="28"/>
      </w:rPr>
      <w:t>- 11 -</w:t>
    </w:r>
    <w:r>
      <w:rPr>
        <w:rStyle w:val="15"/>
        <w:rFonts w:ascii="宋体" w:eastAsia="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 xml:space="preserve"> </w:t>
    </w:r>
    <w:r>
      <w:rPr>
        <w:rStyle w:val="15"/>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671B8"/>
    <w:multiLevelType w:val="multilevel"/>
    <w:tmpl w:val="610671B8"/>
    <w:lvl w:ilvl="0" w:tentative="0">
      <w:start w:val="1"/>
      <w:numFmt w:val="chineseCountingThousand"/>
      <w:pStyle w:val="2"/>
      <w:suff w:val="nothing"/>
      <w:lvlText w:val="%1、"/>
      <w:lvlJc w:val="left"/>
      <w:pPr>
        <w:tabs>
          <w:tab w:val="left" w:pos="0"/>
        </w:tabs>
        <w:ind w:left="1549" w:hanging="425"/>
      </w:pPr>
      <w:rPr>
        <w:rFonts w:hint="eastAsia" w:cs="Times New Roman"/>
      </w:rPr>
    </w:lvl>
    <w:lvl w:ilvl="1" w:tentative="0">
      <w:start w:val="1"/>
      <w:numFmt w:val="chineseCountingThousand"/>
      <w:pStyle w:val="4"/>
      <w:suff w:val="nothing"/>
      <w:lvlText w:val="（%2）"/>
      <w:lvlJc w:val="left"/>
      <w:pPr>
        <w:tabs>
          <w:tab w:val="left" w:pos="0"/>
        </w:tabs>
        <w:ind w:left="3260" w:hanging="567"/>
      </w:pPr>
      <w:rPr>
        <w:rFonts w:hint="eastAsia" w:cs="Times New Roman"/>
      </w:rPr>
    </w:lvl>
    <w:lvl w:ilvl="2" w:tentative="0">
      <w:start w:val="1"/>
      <w:numFmt w:val="decimal"/>
      <w:pStyle w:val="5"/>
      <w:suff w:val="nothing"/>
      <w:lvlText w:val="%3. "/>
      <w:lvlJc w:val="left"/>
      <w:pPr>
        <w:tabs>
          <w:tab w:val="left" w:pos="0"/>
        </w:tabs>
        <w:ind w:left="2409" w:hanging="567"/>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4）"/>
      <w:lvlJc w:val="left"/>
      <w:pPr>
        <w:tabs>
          <w:tab w:val="left" w:pos="0"/>
        </w:tabs>
        <w:ind w:left="2126" w:hanging="425"/>
      </w:pPr>
      <w:rPr>
        <w:rFonts w:hint="eastAsia" w:cs="Times New Roman"/>
      </w:rPr>
    </w:lvl>
    <w:lvl w:ilvl="4" w:tentative="0">
      <w:start w:val="1"/>
      <w:numFmt w:val="decimal"/>
      <w:suff w:val="nothing"/>
      <w:lvlText w:val="%5）"/>
      <w:lvlJc w:val="left"/>
      <w:pPr>
        <w:tabs>
          <w:tab w:val="left" w:pos="0"/>
        </w:tabs>
        <w:ind w:left="2126" w:hanging="113"/>
      </w:pPr>
      <w:rPr>
        <w:rFonts w:hint="eastAsia" w:cs="Times New Roman"/>
      </w:rPr>
    </w:lvl>
    <w:lvl w:ilvl="5" w:tentative="0">
      <w:start w:val="1"/>
      <w:numFmt w:val="decimal"/>
      <w:pStyle w:val="23"/>
      <w:suff w:val="nothing"/>
      <w:lvlText w:val="附件%6 "/>
      <w:lvlJc w:val="left"/>
      <w:pPr>
        <w:tabs>
          <w:tab w:val="left" w:pos="0"/>
        </w:tabs>
        <w:ind w:left="1134" w:hanging="1134"/>
      </w:pPr>
      <w:rPr>
        <w:rFonts w:hint="eastAsia" w:cs="Times New Roman"/>
      </w:rPr>
    </w:lvl>
    <w:lvl w:ilvl="6" w:tentative="0">
      <w:start w:val="1"/>
      <w:numFmt w:val="chineseCountingThousand"/>
      <w:suff w:val="nothing"/>
      <w:lvlText w:val="%7、"/>
      <w:lvlJc w:val="left"/>
      <w:pPr>
        <w:tabs>
          <w:tab w:val="left" w:pos="0"/>
        </w:tabs>
        <w:ind w:left="2126" w:hanging="567"/>
      </w:pPr>
      <w:rPr>
        <w:rFonts w:hint="eastAsia" w:cs="Times New Roman"/>
      </w:rPr>
    </w:lvl>
    <w:lvl w:ilvl="7" w:tentative="0">
      <w:start w:val="1"/>
      <w:numFmt w:val="chineseCountingThousand"/>
      <w:suff w:val="nothing"/>
      <w:lvlText w:val="（%8）"/>
      <w:lvlJc w:val="left"/>
      <w:pPr>
        <w:tabs>
          <w:tab w:val="left" w:pos="0"/>
        </w:tabs>
        <w:ind w:left="2126" w:hanging="567"/>
      </w:pPr>
      <w:rPr>
        <w:rFonts w:hint="eastAsia" w:cs="Times New Roman"/>
      </w:rPr>
    </w:lvl>
    <w:lvl w:ilvl="8" w:tentative="0">
      <w:start w:val="1"/>
      <w:numFmt w:val="decimal"/>
      <w:suff w:val="nothing"/>
      <w:lvlText w:val="%9. "/>
      <w:lvlJc w:val="left"/>
      <w:pPr>
        <w:tabs>
          <w:tab w:val="left" w:pos="0"/>
        </w:tabs>
        <w:ind w:left="2126" w:hanging="567"/>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rsids>
    <w:rsidRoot w:val="00000000"/>
    <w:rsid w:val="71B40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Times New Roman"/>
      <w:kern w:val="2"/>
      <w:sz w:val="21"/>
      <w:szCs w:val="22"/>
      <w:lang w:val="en-US" w:eastAsia="zh-CN" w:bidi="ar-SA"/>
    </w:rPr>
  </w:style>
  <w:style w:type="paragraph" w:styleId="2">
    <w:name w:val="heading 1"/>
    <w:basedOn w:val="3"/>
    <w:next w:val="3"/>
    <w:uiPriority w:val="0"/>
    <w:pPr>
      <w:numPr>
        <w:ilvl w:val="0"/>
        <w:numId w:val="1"/>
      </w:numPr>
      <w:spacing w:before="120" w:after="60"/>
      <w:ind w:left="495" w:leftChars="75" w:hanging="420" w:firstLineChars="0"/>
      <w:jc w:val="left"/>
      <w:outlineLvl w:val="0"/>
    </w:pPr>
    <w:rPr>
      <w:rFonts w:eastAsia="黑体"/>
      <w:bCs/>
      <w:kern w:val="44"/>
      <w:szCs w:val="44"/>
    </w:rPr>
  </w:style>
  <w:style w:type="paragraph" w:styleId="4">
    <w:name w:val="heading 2"/>
    <w:basedOn w:val="3"/>
    <w:next w:val="3"/>
    <w:uiPriority w:val="0"/>
    <w:pPr>
      <w:keepNext/>
      <w:keepLines/>
      <w:widowControl w:val="0"/>
      <w:numPr>
        <w:ilvl w:val="1"/>
        <w:numId w:val="1"/>
      </w:numPr>
      <w:adjustRightInd w:val="0"/>
      <w:spacing w:before="120" w:after="60"/>
      <w:ind w:left="425" w:firstLine="0" w:firstLineChars="0"/>
      <w:outlineLvl w:val="1"/>
    </w:pPr>
    <w:rPr>
      <w:rFonts w:eastAsia="楷体_GB2312"/>
      <w:b/>
      <w:bCs/>
      <w:szCs w:val="32"/>
    </w:rPr>
  </w:style>
  <w:style w:type="paragraph" w:styleId="5">
    <w:name w:val="heading 3"/>
    <w:basedOn w:val="3"/>
    <w:next w:val="3"/>
    <w:qFormat/>
    <w:uiPriority w:val="0"/>
    <w:pPr>
      <w:keepNext/>
      <w:keepLines/>
      <w:widowControl w:val="0"/>
      <w:numPr>
        <w:ilvl w:val="2"/>
        <w:numId w:val="1"/>
      </w:numPr>
      <w:adjustRightInd w:val="0"/>
      <w:spacing w:before="120" w:after="60"/>
      <w:ind w:left="425" w:firstLine="0" w:firstLineChars="0"/>
      <w:outlineLvl w:val="2"/>
    </w:pPr>
    <w:rPr>
      <w:bCs/>
      <w:szCs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3">
    <w:name w:val="擎业正文"/>
    <w:basedOn w:val="1"/>
    <w:qFormat/>
    <w:uiPriority w:val="0"/>
    <w:pPr>
      <w:spacing w:line="600" w:lineRule="exact"/>
      <w:ind w:firstLine="200" w:firstLineChars="200"/>
    </w:pPr>
    <w:rPr>
      <w:rFonts w:ascii="Times New Roman" w:hAnsi="Times New Roman" w:eastAsia="仿宋_GB2312"/>
      <w:kern w:val="0"/>
      <w:sz w:val="32"/>
      <w:szCs w:val="28"/>
      <w:lang w:val="zh-CN"/>
    </w:rPr>
  </w:style>
  <w:style w:type="paragraph" w:styleId="6">
    <w:name w:val="annotation text"/>
    <w:basedOn w:val="1"/>
    <w:qFormat/>
    <w:uiPriority w:val="0"/>
    <w:pPr>
      <w:jc w:val="left"/>
    </w:pPr>
  </w:style>
  <w:style w:type="paragraph" w:styleId="7">
    <w:name w:val="toc 3"/>
    <w:basedOn w:val="1"/>
    <w:next w:val="1"/>
    <w:qFormat/>
    <w:uiPriority w:val="0"/>
    <w:pPr>
      <w:ind w:left="400" w:leftChars="40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0"/>
  </w:style>
  <w:style w:type="paragraph" w:styleId="11">
    <w:name w:val="toc 2"/>
    <w:basedOn w:val="1"/>
    <w:next w:val="1"/>
    <w:uiPriority w:val="0"/>
    <w:pPr>
      <w:ind w:left="200" w:leftChars="200"/>
    </w:pPr>
  </w:style>
  <w:style w:type="paragraph" w:styleId="12">
    <w:name w:val="Normal (Web)"/>
    <w:basedOn w:val="1"/>
    <w:qFormat/>
    <w:uiPriority w:val="0"/>
    <w:pPr>
      <w:jc w:val="left"/>
    </w:pPr>
    <w:rPr>
      <w:kern w:val="0"/>
      <w:sz w:val="24"/>
    </w:rPr>
  </w:style>
  <w:style w:type="character" w:styleId="15">
    <w:name w:val="page number"/>
    <w:basedOn w:val="14"/>
    <w:qFormat/>
    <w:uiPriority w:val="0"/>
    <w:rPr>
      <w:rFonts w:cs="Times New Roman"/>
    </w:rPr>
  </w:style>
  <w:style w:type="character" w:styleId="16">
    <w:name w:val="FollowedHyperlink"/>
    <w:basedOn w:val="14"/>
    <w:uiPriority w:val="0"/>
    <w:rPr>
      <w:rFonts w:cs="Times New Roman"/>
      <w:color w:val="272727"/>
      <w:u w:val="none"/>
    </w:rPr>
  </w:style>
  <w:style w:type="character" w:styleId="17">
    <w:name w:val="Hyperlink"/>
    <w:basedOn w:val="14"/>
    <w:qFormat/>
    <w:uiPriority w:val="0"/>
    <w:rPr>
      <w:rFonts w:cs="Times New Roman"/>
      <w:color w:val="0563C1"/>
      <w:u w:val="single"/>
    </w:rPr>
  </w:style>
  <w:style w:type="paragraph" w:customStyle="1" w:styleId="18">
    <w:name w:val="擎业封面标题"/>
    <w:basedOn w:val="1"/>
    <w:next w:val="1"/>
    <w:uiPriority w:val="0"/>
    <w:pPr>
      <w:spacing w:before="480" w:after="360"/>
      <w:jc w:val="center"/>
    </w:pPr>
    <w:rPr>
      <w:rFonts w:ascii="Times New Roman" w:hAnsi="Times New Roman" w:eastAsia="黑体"/>
      <w:b/>
      <w:sz w:val="32"/>
      <w:szCs w:val="24"/>
    </w:rPr>
  </w:style>
  <w:style w:type="paragraph" w:customStyle="1" w:styleId="19">
    <w:name w:val="擎业摘要标题"/>
    <w:basedOn w:val="1"/>
    <w:uiPriority w:val="0"/>
    <w:pPr>
      <w:spacing w:before="480" w:after="360"/>
      <w:jc w:val="center"/>
      <w:outlineLvl w:val="0"/>
    </w:pPr>
    <w:rPr>
      <w:rFonts w:ascii="Times New Roman" w:hAnsi="Times New Roman" w:eastAsia="黑体"/>
      <w:b/>
      <w:sz w:val="32"/>
      <w:szCs w:val="24"/>
    </w:rPr>
  </w:style>
  <w:style w:type="paragraph" w:customStyle="1" w:styleId="20">
    <w:name w:val="擎业图表名"/>
    <w:basedOn w:val="1"/>
    <w:uiPriority w:val="0"/>
    <w:pPr>
      <w:spacing w:before="60" w:after="60"/>
      <w:jc w:val="center"/>
    </w:pPr>
    <w:rPr>
      <w:rFonts w:ascii="Times New Roman" w:hAnsi="Times New Roman" w:eastAsia="仿宋_GB2312"/>
      <w:b/>
      <w:kern w:val="0"/>
      <w:sz w:val="22"/>
      <w:szCs w:val="28"/>
    </w:rPr>
  </w:style>
  <w:style w:type="paragraph" w:customStyle="1" w:styleId="21">
    <w:name w:val="擎业备注类"/>
    <w:basedOn w:val="1"/>
    <w:uiPriority w:val="0"/>
    <w:pPr>
      <w:ind w:firstLine="200" w:firstLineChars="200"/>
      <w:jc w:val="left"/>
    </w:pPr>
    <w:rPr>
      <w:rFonts w:ascii="Times New Roman" w:hAnsi="Times New Roman" w:eastAsia="仿宋_GB2312" w:cs="宋体"/>
      <w:kern w:val="0"/>
      <w:szCs w:val="28"/>
      <w:lang w:val="zh-CN"/>
    </w:rPr>
  </w:style>
  <w:style w:type="paragraph" w:customStyle="1" w:styleId="22">
    <w:name w:val="擎业表文字"/>
    <w:basedOn w:val="1"/>
    <w:uiPriority w:val="0"/>
    <w:pPr>
      <w:widowControl/>
      <w:spacing w:line="320" w:lineRule="exact"/>
      <w:jc w:val="center"/>
    </w:pPr>
    <w:rPr>
      <w:rFonts w:ascii="Times New Roman" w:hAnsi="Times New Roman" w:eastAsia="仿宋_GB2312" w:cs="宋体"/>
      <w:bCs/>
      <w:color w:val="000000"/>
      <w:kern w:val="0"/>
      <w:sz w:val="22"/>
      <w:lang w:val="zh-CN"/>
    </w:rPr>
  </w:style>
  <w:style w:type="paragraph" w:customStyle="1" w:styleId="23">
    <w:name w:val="擎业附件标题"/>
    <w:basedOn w:val="1"/>
    <w:uiPriority w:val="0"/>
    <w:pPr>
      <w:numPr>
        <w:ilvl w:val="5"/>
        <w:numId w:val="1"/>
      </w:numPr>
      <w:spacing w:before="120" w:after="60"/>
      <w:outlineLvl w:val="0"/>
    </w:pPr>
    <w:rPr>
      <w:rFonts w:ascii="Times New Roman" w:hAnsi="Times New Roman" w:eastAsia="黑体"/>
      <w:b/>
      <w:kern w:val="0"/>
      <w:sz w:val="32"/>
      <w:szCs w:val="28"/>
      <w:lang w:val="zh-CN"/>
    </w:rPr>
  </w:style>
  <w:style w:type="paragraph" w:customStyle="1" w:styleId="24">
    <w:name w:val="擎业附件一级标题"/>
    <w:basedOn w:val="1"/>
    <w:next w:val="1"/>
    <w:qFormat/>
    <w:uiPriority w:val="0"/>
    <w:pPr>
      <w:spacing w:before="120" w:after="60" w:line="600" w:lineRule="exact"/>
      <w:ind w:firstLine="200" w:firstLineChars="200"/>
      <w:jc w:val="left"/>
    </w:pPr>
    <w:rPr>
      <w:rFonts w:ascii="Times New Roman" w:hAnsi="Times New Roman" w:eastAsia="仿宋_GB2312" w:cs="宋体"/>
      <w:b/>
      <w:kern w:val="0"/>
      <w:sz w:val="32"/>
      <w:szCs w:val="28"/>
      <w:lang w:val="zh-CN"/>
    </w:rPr>
  </w:style>
  <w:style w:type="paragraph" w:customStyle="1" w:styleId="25">
    <w:name w:val="擎业附件正文"/>
    <w:basedOn w:val="1"/>
    <w:uiPriority w:val="0"/>
    <w:pPr>
      <w:spacing w:line="600" w:lineRule="exact"/>
      <w:ind w:firstLine="200" w:firstLineChars="200"/>
    </w:pPr>
    <w:rPr>
      <w:rFonts w:ascii="Times New Roman" w:hAnsi="Times New Roman" w:eastAsia="仿宋_GB2312"/>
      <w:kern w:val="0"/>
      <w:sz w:val="24"/>
      <w:szCs w:val="28"/>
      <w:lang w:val="zh-CN"/>
    </w:rPr>
  </w:style>
  <w:style w:type="paragraph" w:customStyle="1" w:styleId="26">
    <w:name w:val="擎业页码"/>
    <w:uiPriority w:val="0"/>
    <w:pPr>
      <w:jc w:val="center"/>
    </w:pPr>
    <w:rPr>
      <w:rFonts w:ascii="Times New Roman" w:hAnsi="Times New Roman" w:eastAsia="宋体" w:cs="Times New Roman"/>
      <w:kern w:val="0"/>
      <w:sz w:val="21"/>
      <w:szCs w:val="28"/>
      <w:lang w:val="en-US" w:eastAsia="zh-CN" w:bidi="ar-SA"/>
    </w:rPr>
  </w:style>
  <w:style w:type="paragraph" w:customStyle="1" w:styleId="27">
    <w:name w:val="擎业附件二级标题"/>
    <w:basedOn w:val="24"/>
    <w:uiPriority w:val="0"/>
    <w:rPr>
      <w:rFonts w:ascii="宋体" w:eastAsia="宋体"/>
    </w:rPr>
  </w:style>
  <w:style w:type="paragraph" w:customStyle="1" w:styleId="28">
    <w:name w:val="擎业附件三级标题"/>
    <w:basedOn w:val="27"/>
    <w:uiPriority w:val="0"/>
    <w:rPr>
      <w:rFonts w:ascii="Times New Roman" w:hAnsi="Times New Roman" w:eastAsia="仿宋_GB2312"/>
    </w:rPr>
  </w:style>
  <w:style w:type="paragraph" w:customStyle="1" w:styleId="29">
    <w:name w:val="擎业附件报告名"/>
    <w:basedOn w:val="1"/>
    <w:uiPriority w:val="0"/>
    <w:pPr>
      <w:spacing w:before="120" w:after="60" w:line="600" w:lineRule="exact"/>
      <w:jc w:val="center"/>
    </w:pPr>
    <w:rPr>
      <w:rFonts w:ascii="Times New Roman" w:hAnsi="Times New Roman" w:eastAsia="仿宋_GB2312"/>
      <w:b/>
      <w:kern w:val="0"/>
      <w:sz w:val="32"/>
      <w:szCs w:val="28"/>
      <w:lang w:val="zh-CN"/>
    </w:rPr>
  </w:style>
  <w:style w:type="paragraph" w:customStyle="1" w:styleId="30">
    <w:name w:val="擎业附件四级标题"/>
    <w:basedOn w:val="28"/>
    <w:qFormat/>
    <w:uiPriority w:val="0"/>
    <w:pPr>
      <w:spacing w:before="0" w:after="0"/>
    </w:pPr>
  </w:style>
  <w:style w:type="paragraph" w:customStyle="1" w:styleId="31">
    <w:name w:val="擎业脚注"/>
    <w:basedOn w:val="1"/>
    <w:uiPriority w:val="0"/>
    <w:pPr>
      <w:spacing w:line="400" w:lineRule="exact"/>
    </w:pPr>
    <w:rPr>
      <w:rFonts w:ascii="Times New Roman" w:hAnsi="Times New Roman" w:eastAsia="仿宋_GB2312"/>
      <w:kern w:val="0"/>
      <w:sz w:val="18"/>
      <w:szCs w:val="28"/>
      <w:lang w:val="zh-CN"/>
    </w:rPr>
  </w:style>
  <w:style w:type="paragraph" w:customStyle="1" w:styleId="32">
    <w:name w:val="TOC Heading1"/>
    <w:basedOn w:val="2"/>
    <w:next w:val="1"/>
    <w:qFormat/>
    <w:uiPriority w:val="0"/>
    <w:pPr>
      <w:keepNext/>
      <w:keepLines/>
      <w:widowControl/>
      <w:numPr>
        <w:ilvl w:val="0"/>
        <w:numId w:val="0"/>
      </w:numPr>
      <w:spacing w:before="240" w:after="0" w:line="259" w:lineRule="auto"/>
      <w:ind w:leftChars="0"/>
      <w:outlineLvl w:val="9"/>
    </w:pPr>
    <w:rPr>
      <w:rFonts w:ascii="等线 Light" w:eastAsia="等线 Light"/>
      <w:bCs w:val="0"/>
      <w:color w:val="2F5496"/>
      <w:kern w:val="0"/>
      <w:szCs w:val="32"/>
      <w:lang w:val="en-US"/>
    </w:rPr>
  </w:style>
  <w:style w:type="paragraph" w:customStyle="1" w:styleId="33">
    <w:name w:val="Body text|1"/>
    <w:basedOn w:val="1"/>
    <w:uiPriority w:val="0"/>
    <w:pPr>
      <w:spacing w:line="403" w:lineRule="auto"/>
      <w:ind w:firstLine="400"/>
    </w:pPr>
    <w:rPr>
      <w:rFonts w:ascii="宋体" w:eastAsia="宋体" w:cs="宋体"/>
      <w:sz w:val="30"/>
      <w:szCs w:val="30"/>
      <w:lang w:val="zh-TW" w:eastAsia="zh-TW"/>
    </w:rPr>
  </w:style>
  <w:style w:type="character" w:customStyle="1" w:styleId="34">
    <w:name w:val="jiathis_style"/>
    <w:basedOn w:val="14"/>
    <w:uiPriority w:val="0"/>
    <w:rPr>
      <w:rFonts w:cs="Times New Roman"/>
      <w:vanish/>
    </w:rPr>
  </w:style>
  <w:style w:type="character" w:customStyle="1" w:styleId="35">
    <w:name w:val="hovershow"/>
    <w:basedOn w:val="14"/>
    <w:qFormat/>
    <w:uiPriority w:val="0"/>
    <w:rPr>
      <w:rFonts w:cs="Times New Roman"/>
      <w:vanish/>
    </w:rPr>
  </w:style>
  <w:style w:type="character" w:customStyle="1" w:styleId="36">
    <w:name w:val="hovershow1"/>
    <w:basedOn w:val="14"/>
    <w:uiPriority w:val="0"/>
    <w:rPr>
      <w:rFonts w:cs="Times New Roman"/>
    </w:rPr>
  </w:style>
  <w:style w:type="character" w:customStyle="1" w:styleId="37">
    <w:name w:val="layui-layer-tabnow"/>
    <w:basedOn w:val="14"/>
    <w:qFormat/>
    <w:uiPriority w:val="0"/>
    <w:rPr>
      <w:rFonts w:cs="Times New Roman"/>
      <w:bdr w:val="single" w:color="CCCCCC" w:sz="6" w:space="0"/>
      <w:shd w:val="clear" w:color="auto" w:fill="FFFFFF"/>
    </w:rPr>
  </w:style>
  <w:style w:type="character" w:customStyle="1" w:styleId="38">
    <w:name w:val="first-child"/>
    <w:basedOn w:val="14"/>
    <w:qFormat/>
    <w:uiPriority w:val="0"/>
    <w:rPr>
      <w:rFonts w:cs="Times New Roman"/>
    </w:rPr>
  </w:style>
  <w:style w:type="character" w:customStyle="1" w:styleId="39">
    <w:name w:val="bsharetext"/>
    <w:basedOn w:val="14"/>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4730</Words>
  <Characters>5031</Characters>
  <Lines>940</Lines>
  <Paragraphs>248</Paragraphs>
  <TotalTime>9</TotalTime>
  <ScaleCrop>false</ScaleCrop>
  <LinksUpToDate>false</LinksUpToDate>
  <CharactersWithSpaces>5185</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2021-12-14T02:06:00Z</dcterms:created>
  <dc:creator>杰 陈</dc:creator>
  <cp:lastModifiedBy>⁶⁶⁶₆₆₆666</cp:lastModifiedBy>
  <cp:lastPrinted>2021-12-17T06:42:00Z</cp:lastPrinted>
  <dcterms:modified xsi:type="dcterms:W3CDTF">2022-01-17T06:19:22Z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B98BCBF6094C4E8291D2F1BC38F81F46</vt:lpwstr>
  </property>
</Properties>
</file>