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FF3FF">
      <w:pPr>
        <w:tabs>
          <w:tab w:val="left" w:pos="5954"/>
        </w:tabs>
        <w:spacing w:line="1000" w:lineRule="exact"/>
        <w:jc w:val="center"/>
        <w:rPr>
          <w:rFonts w:hint="eastAsia" w:ascii="方正小标宋简体" w:hAnsi="方正小标宋简体" w:eastAsia="方正小标宋简体" w:cs="方正小标宋简体"/>
          <w:sz w:val="44"/>
          <w:szCs w:val="44"/>
        </w:rPr>
      </w:pPr>
      <w:bookmarkStart w:id="0" w:name="_Toc217446030"/>
      <w:bookmarkStart w:id="1" w:name="_Toc183682338"/>
      <w:r>
        <w:rPr>
          <w:rFonts w:hint="eastAsia" w:ascii="方正小标宋简体" w:hAnsi="方正小标宋简体" w:eastAsia="方正小标宋简体" w:cs="方正小标宋简体"/>
          <w:sz w:val="44"/>
          <w:szCs w:val="44"/>
        </w:rPr>
        <w:t>土溪口水库工程</w:t>
      </w: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安全度汛技术咨询服务项目竞争性磋商文件</w:t>
      </w:r>
    </w:p>
    <w:p w14:paraId="6D104F4E">
      <w:pPr>
        <w:spacing w:line="360" w:lineRule="auto"/>
        <w:jc w:val="center"/>
        <w:rPr>
          <w:rFonts w:hint="eastAsia" w:ascii="仿宋_GB2312" w:hAnsi="仿宋_GB2312" w:eastAsia="仿宋_GB2312" w:cs="仿宋_GB2312"/>
          <w:sz w:val="32"/>
          <w:szCs w:val="32"/>
        </w:rPr>
      </w:pPr>
    </w:p>
    <w:p w14:paraId="25BF6317">
      <w:pPr>
        <w:spacing w:line="578" w:lineRule="exact"/>
        <w:jc w:val="center"/>
        <w:rPr>
          <w:rFonts w:hint="eastAsia" w:ascii="仿宋_GB2312" w:hAnsi="仿宋_GB2312" w:eastAsia="仿宋_GB2312" w:cs="仿宋_GB2312"/>
          <w:sz w:val="32"/>
          <w:szCs w:val="32"/>
        </w:rPr>
      </w:pPr>
    </w:p>
    <w:p w14:paraId="3A4937A8">
      <w:pPr>
        <w:spacing w:line="578" w:lineRule="exact"/>
        <w:jc w:val="center"/>
        <w:rPr>
          <w:rFonts w:hint="eastAsia" w:ascii="仿宋_GB2312" w:hAnsi="仿宋_GB2312" w:eastAsia="仿宋_GB2312" w:cs="仿宋_GB2312"/>
          <w:sz w:val="32"/>
          <w:szCs w:val="32"/>
        </w:rPr>
      </w:pPr>
    </w:p>
    <w:p w14:paraId="25E8FAC1">
      <w:pPr>
        <w:pStyle w:val="4"/>
        <w:spacing w:after="0" w:line="578" w:lineRule="exact"/>
        <w:jc w:val="center"/>
        <w:rPr>
          <w:rFonts w:hint="eastAsia" w:ascii="仿宋_GB2312" w:hAnsi="仿宋_GB2312" w:eastAsia="仿宋_GB2312" w:cs="仿宋_GB2312"/>
          <w:sz w:val="32"/>
          <w:szCs w:val="32"/>
        </w:rPr>
      </w:pPr>
    </w:p>
    <w:p w14:paraId="75E885F7">
      <w:pPr>
        <w:pStyle w:val="4"/>
        <w:spacing w:after="0" w:line="578" w:lineRule="exact"/>
        <w:jc w:val="center"/>
        <w:rPr>
          <w:rFonts w:hint="eastAsia" w:ascii="仿宋_GB2312" w:hAnsi="仿宋_GB2312" w:eastAsia="仿宋_GB2312" w:cs="仿宋_GB2312"/>
          <w:sz w:val="32"/>
          <w:szCs w:val="32"/>
        </w:rPr>
      </w:pPr>
    </w:p>
    <w:p w14:paraId="74685C59">
      <w:pPr>
        <w:pStyle w:val="4"/>
        <w:spacing w:after="0" w:line="578" w:lineRule="exact"/>
        <w:jc w:val="center"/>
        <w:rPr>
          <w:rFonts w:hint="eastAsia" w:ascii="仿宋_GB2312" w:hAnsi="仿宋_GB2312" w:eastAsia="仿宋_GB2312" w:cs="仿宋_GB2312"/>
          <w:sz w:val="32"/>
          <w:szCs w:val="32"/>
        </w:rPr>
      </w:pPr>
    </w:p>
    <w:p w14:paraId="62ABB9D7">
      <w:pPr>
        <w:spacing w:line="578" w:lineRule="exact"/>
        <w:jc w:val="center"/>
        <w:rPr>
          <w:rFonts w:hint="eastAsia" w:ascii="仿宋_GB2312" w:hAnsi="仿宋_GB2312" w:eastAsia="仿宋_GB2312" w:cs="仿宋_GB2312"/>
          <w:sz w:val="32"/>
          <w:szCs w:val="32"/>
        </w:rPr>
      </w:pPr>
    </w:p>
    <w:p w14:paraId="71056284">
      <w:pPr>
        <w:spacing w:line="578" w:lineRule="exact"/>
        <w:jc w:val="center"/>
        <w:rPr>
          <w:rFonts w:hint="eastAsia" w:ascii="仿宋_GB2312" w:hAnsi="仿宋_GB2312" w:eastAsia="仿宋_GB2312" w:cs="仿宋_GB2312"/>
          <w:sz w:val="32"/>
          <w:szCs w:val="32"/>
        </w:rPr>
      </w:pPr>
    </w:p>
    <w:p w14:paraId="76A153FE">
      <w:pPr>
        <w:spacing w:line="578" w:lineRule="exact"/>
        <w:jc w:val="center"/>
        <w:rPr>
          <w:rFonts w:ascii="Times New Roman" w:hAnsi="Times New Roman" w:eastAsia="方正仿宋简体" w:cs="Times New Roman"/>
          <w:sz w:val="32"/>
          <w:szCs w:val="32"/>
        </w:rPr>
      </w:pPr>
    </w:p>
    <w:p w14:paraId="262022CC">
      <w:pPr>
        <w:spacing w:line="800" w:lineRule="exact"/>
        <w:jc w:val="center"/>
        <w:rPr>
          <w:rFonts w:ascii="Times New Roman" w:hAnsi="Times New Roman" w:eastAsia="方正仿宋简体" w:cs="Times New Roman"/>
          <w:sz w:val="32"/>
          <w:szCs w:val="32"/>
          <w:highlight w:val="yellow"/>
          <w:u w:val="single"/>
        </w:rPr>
      </w:pPr>
      <w:r>
        <w:rPr>
          <w:rFonts w:hint="eastAsia" w:ascii="黑体" w:hAnsi="黑体" w:eastAsia="黑体" w:cs="黑体"/>
          <w:sz w:val="32"/>
          <w:szCs w:val="32"/>
        </w:rPr>
        <w:t>采  购  人 ：</w:t>
      </w:r>
      <w:r>
        <w:rPr>
          <w:rFonts w:hint="eastAsia" w:ascii="Times New Roman" w:hAnsi="Times New Roman" w:eastAsia="方正仿宋简体" w:cs="Times New Roman"/>
          <w:sz w:val="32"/>
          <w:szCs w:val="32"/>
          <w:u w:val="single"/>
        </w:rPr>
        <w:t>达州市土溪口水库运行保护中心</w:t>
      </w:r>
    </w:p>
    <w:p w14:paraId="39E3B8C3">
      <w:pPr>
        <w:spacing w:line="800" w:lineRule="exact"/>
        <w:ind w:firstLine="1280" w:firstLineChars="400"/>
        <w:rPr>
          <w:rFonts w:ascii="Times New Roman" w:hAnsi="Times New Roman" w:eastAsia="方正仿宋简体" w:cs="Times New Roman"/>
          <w:sz w:val="32"/>
          <w:szCs w:val="32"/>
          <w:u w:val="single"/>
        </w:rPr>
      </w:pPr>
      <w:r>
        <w:rPr>
          <w:rFonts w:hint="eastAsia" w:ascii="黑体" w:hAnsi="黑体" w:eastAsia="黑体" w:cs="黑体"/>
          <w:sz w:val="32"/>
          <w:szCs w:val="32"/>
        </w:rPr>
        <w:t>时       间：</w:t>
      </w:r>
      <w:r>
        <w:rPr>
          <w:rFonts w:hint="eastAsia" w:ascii="黑体" w:hAnsi="黑体" w:eastAsia="黑体" w:cs="黑体"/>
          <w:sz w:val="32"/>
          <w:szCs w:val="32"/>
          <w:u w:val="single"/>
        </w:rPr>
        <w:t xml:space="preserve">       </w:t>
      </w:r>
      <w:r>
        <w:rPr>
          <w:rFonts w:ascii="Times New Roman" w:hAnsi="Times New Roman" w:eastAsia="方正仿宋简体" w:cs="Times New Roman"/>
          <w:sz w:val="32"/>
          <w:szCs w:val="32"/>
          <w:u w:val="single"/>
        </w:rPr>
        <w:t>202</w:t>
      </w:r>
      <w:r>
        <w:rPr>
          <w:rFonts w:hint="eastAsia" w:ascii="Times New Roman" w:hAnsi="Times New Roman" w:eastAsia="方正仿宋简体" w:cs="Times New Roman"/>
          <w:sz w:val="32"/>
          <w:szCs w:val="32"/>
          <w:u w:val="single"/>
          <w:lang w:val="en-US" w:eastAsia="zh-CN"/>
        </w:rPr>
        <w:t>6</w:t>
      </w:r>
      <w:r>
        <w:rPr>
          <w:rFonts w:ascii="Times New Roman" w:hAnsi="Times New Roman" w:eastAsia="方正仿宋简体" w:cs="Times New Roman"/>
          <w:sz w:val="32"/>
          <w:szCs w:val="32"/>
          <w:u w:val="single"/>
        </w:rPr>
        <w:t>年</w:t>
      </w:r>
      <w:r>
        <w:rPr>
          <w:rFonts w:hint="eastAsia" w:ascii="Times New Roman" w:hAnsi="Times New Roman" w:eastAsia="方正仿宋简体" w:cs="Times New Roman"/>
          <w:sz w:val="32"/>
          <w:szCs w:val="32"/>
          <w:u w:val="single"/>
          <w:lang w:val="en-US" w:eastAsia="zh-CN"/>
        </w:rPr>
        <w:t>3</w:t>
      </w:r>
      <w:r>
        <w:rPr>
          <w:rFonts w:ascii="Times New Roman" w:hAnsi="Times New Roman" w:eastAsia="方正仿宋简体" w:cs="Times New Roman"/>
          <w:sz w:val="32"/>
          <w:szCs w:val="32"/>
          <w:u w:val="single"/>
        </w:rPr>
        <w:t>月</w:t>
      </w:r>
      <w:bookmarkStart w:id="2" w:name="_Toc404244909"/>
      <w:bookmarkStart w:id="3" w:name="_Toc387242467"/>
      <w:r>
        <w:rPr>
          <w:rFonts w:hint="eastAsia" w:ascii="Times New Roman" w:hAnsi="Times New Roman" w:eastAsia="方正仿宋简体" w:cs="Times New Roman"/>
          <w:sz w:val="32"/>
          <w:szCs w:val="32"/>
          <w:u w:val="single"/>
        </w:rPr>
        <w:t xml:space="preserve">          </w:t>
      </w:r>
    </w:p>
    <w:p w14:paraId="7033E3B5">
      <w:pPr>
        <w:pStyle w:val="4"/>
        <w:spacing w:after="0" w:line="578" w:lineRule="exact"/>
        <w:jc w:val="center"/>
        <w:rPr>
          <w:rFonts w:hint="eastAsia" w:ascii="仿宋_GB2312" w:hAnsi="仿宋_GB2312" w:eastAsia="仿宋_GB2312" w:cs="仿宋_GB2312"/>
          <w:sz w:val="32"/>
          <w:szCs w:val="32"/>
        </w:rPr>
      </w:pPr>
    </w:p>
    <w:p w14:paraId="11B392EA">
      <w:pPr>
        <w:pStyle w:val="4"/>
        <w:spacing w:after="0" w:line="578" w:lineRule="exact"/>
        <w:jc w:val="center"/>
        <w:rPr>
          <w:rFonts w:hint="eastAsia" w:ascii="仿宋_GB2312" w:hAnsi="仿宋_GB2312" w:eastAsia="仿宋_GB2312" w:cs="仿宋_GB2312"/>
          <w:sz w:val="32"/>
          <w:szCs w:val="32"/>
        </w:rPr>
      </w:pPr>
    </w:p>
    <w:p w14:paraId="3117CDBC">
      <w:pPr>
        <w:spacing w:line="578" w:lineRule="exact"/>
        <w:jc w:val="center"/>
        <w:rPr>
          <w:rFonts w:hint="eastAsia" w:ascii="仿宋_GB2312" w:hAnsi="仿宋_GB2312" w:eastAsia="仿宋_GB2312" w:cs="仿宋_GB2312"/>
          <w:sz w:val="32"/>
          <w:szCs w:val="32"/>
        </w:rPr>
      </w:pPr>
    </w:p>
    <w:p w14:paraId="793C7E02">
      <w:pPr>
        <w:pStyle w:val="4"/>
        <w:spacing w:after="0" w:line="578" w:lineRule="exact"/>
        <w:jc w:val="center"/>
        <w:rPr>
          <w:rFonts w:hint="eastAsia" w:ascii="仿宋_GB2312" w:hAnsi="仿宋_GB2312" w:eastAsia="仿宋_GB2312" w:cs="仿宋_GB2312"/>
          <w:sz w:val="32"/>
          <w:szCs w:val="32"/>
        </w:rPr>
      </w:pPr>
    </w:p>
    <w:p w14:paraId="20BB1554">
      <w:pPr>
        <w:pStyle w:val="4"/>
        <w:spacing w:after="0" w:line="578" w:lineRule="exact"/>
        <w:jc w:val="center"/>
        <w:rPr>
          <w:rFonts w:hint="eastAsia" w:ascii="仿宋_GB2312" w:hAnsi="仿宋_GB2312" w:eastAsia="仿宋_GB2312" w:cs="仿宋_GB2312"/>
          <w:sz w:val="32"/>
          <w:szCs w:val="32"/>
        </w:rPr>
      </w:pPr>
    </w:p>
    <w:p w14:paraId="442E0212">
      <w:pPr>
        <w:spacing w:line="578" w:lineRule="exact"/>
        <w:jc w:val="center"/>
        <w:rPr>
          <w:rFonts w:hint="eastAsia" w:ascii="仿宋_GB2312" w:hAnsi="仿宋_GB2312" w:eastAsia="仿宋_GB2312" w:cs="仿宋_GB2312"/>
          <w:sz w:val="32"/>
          <w:szCs w:val="32"/>
        </w:rPr>
      </w:pPr>
    </w:p>
    <w:p w14:paraId="34123C1D">
      <w:pPr>
        <w:spacing w:line="578" w:lineRule="exact"/>
        <w:jc w:val="center"/>
        <w:rPr>
          <w:rFonts w:hint="eastAsia" w:ascii="仿宋_GB2312" w:hAnsi="仿宋_GB2312" w:eastAsia="仿宋_GB2312" w:cs="仿宋_GB2312"/>
          <w:sz w:val="32"/>
          <w:szCs w:val="32"/>
        </w:rPr>
      </w:pPr>
    </w:p>
    <w:p w14:paraId="028DDD0E">
      <w:pPr>
        <w:spacing w:line="578" w:lineRule="exact"/>
        <w:jc w:val="center"/>
        <w:rPr>
          <w:rFonts w:hint="eastAsia" w:ascii="仿宋_GB2312" w:hAnsi="仿宋_GB2312" w:eastAsia="仿宋_GB2312" w:cs="仿宋_GB2312"/>
          <w:sz w:val="32"/>
          <w:szCs w:val="32"/>
        </w:rPr>
        <w:sectPr>
          <w:footerReference r:id="rId3" w:type="default"/>
          <w:pgSz w:w="11907" w:h="16840"/>
          <w:pgMar w:top="1304" w:right="1418" w:bottom="1247" w:left="1418" w:header="851" w:footer="992" w:gutter="0"/>
          <w:pgNumType w:fmt="numberInDash"/>
          <w:cols w:space="720" w:num="1"/>
        </w:sectPr>
      </w:pPr>
    </w:p>
    <w:p w14:paraId="19D3C104">
      <w:pPr>
        <w:spacing w:line="360" w:lineRule="auto"/>
        <w:ind w:firstLine="723"/>
        <w:jc w:val="center"/>
        <w:rPr>
          <w:rFonts w:ascii="Times New Roman" w:hAnsi="Times New Roman" w:eastAsia="宋体" w:cs="Times New Roman"/>
          <w:b/>
          <w:bCs/>
          <w:sz w:val="36"/>
          <w:szCs w:val="36"/>
          <w:lang w:val="zh-CN"/>
        </w:rPr>
      </w:pPr>
      <w:r>
        <w:rPr>
          <w:rFonts w:ascii="Times New Roman" w:hAnsi="Times New Roman" w:eastAsia="宋体" w:cs="Times New Roman"/>
          <w:b/>
          <w:bCs/>
          <w:sz w:val="36"/>
          <w:szCs w:val="36"/>
          <w:lang w:val="zh-CN"/>
        </w:rPr>
        <w:t>目录</w:t>
      </w:r>
    </w:p>
    <w:p w14:paraId="6BA077B7">
      <w:pPr>
        <w:spacing w:line="360" w:lineRule="auto"/>
        <w:ind w:firstLine="723"/>
        <w:jc w:val="center"/>
        <w:rPr>
          <w:rFonts w:ascii="Times New Roman" w:hAnsi="Times New Roman" w:eastAsia="宋体" w:cs="Times New Roman"/>
          <w:b/>
          <w:bCs/>
          <w:sz w:val="36"/>
          <w:szCs w:val="36"/>
          <w:lang w:val="zh-CN"/>
        </w:rPr>
      </w:pPr>
    </w:p>
    <w:p w14:paraId="061D8957">
      <w:pPr>
        <w:pStyle w:val="9"/>
        <w:tabs>
          <w:tab w:val="right" w:leader="dot" w:pos="9071"/>
        </w:tabs>
        <w:rPr>
          <w:rFonts w:ascii="Times New Roman" w:hAnsi="Times New Roman" w:eastAsia="仿宋_GB2312" w:cs="Times New Roman"/>
          <w:sz w:val="32"/>
          <w:szCs w:val="32"/>
        </w:rPr>
      </w:pPr>
      <w:bookmarkStart w:id="4" w:name="_Toc3546"/>
      <w:r>
        <w:rPr>
          <w:rFonts w:ascii="Times New Roman" w:hAnsi="Times New Roman" w:eastAsia="宋体" w:cs="Times New Roman"/>
          <w:lang w:eastAsia="zh-CN"/>
        </w:rPr>
        <w:fldChar w:fldCharType="begin"/>
      </w:r>
      <w:r>
        <w:rPr>
          <w:rStyle w:val="13"/>
          <w:rFonts w:ascii="Times New Roman" w:hAnsi="Times New Roman" w:eastAsia="宋体" w:cs="Times New Roman"/>
          <w:color w:val="auto"/>
          <w:lang w:eastAsia="zh-CN"/>
        </w:rPr>
        <w:instrText xml:space="preserve">TOC \o "1-1" \h \u </w:instrText>
      </w:r>
      <w:r>
        <w:rPr>
          <w:rFonts w:ascii="Times New Roman" w:hAnsi="Times New Roman" w:eastAsia="宋体" w:cs="Times New Roman"/>
          <w:lang w:eastAsia="zh-CN"/>
        </w:rPr>
        <w:fldChar w:fldCharType="separate"/>
      </w:r>
      <w:r>
        <w:fldChar w:fldCharType="begin"/>
      </w:r>
      <w:r>
        <w:instrText xml:space="preserve"> HYPERLINK \l "_Toc7991" </w:instrText>
      </w:r>
      <w:r>
        <w:fldChar w:fldCharType="separate"/>
      </w:r>
      <w:r>
        <w:rPr>
          <w:rFonts w:ascii="Times New Roman" w:hAnsi="Times New Roman" w:eastAsia="仿宋_GB2312" w:cs="Times New Roman"/>
          <w:bCs/>
          <w:sz w:val="32"/>
          <w:szCs w:val="32"/>
        </w:rPr>
        <w:t>第一部分  竞争性磋商公告</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_Toc7991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- 6 -</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14:paraId="362A8AC6">
      <w:pPr>
        <w:pStyle w:val="9"/>
        <w:tabs>
          <w:tab w:val="right" w:leader="dot" w:pos="9071"/>
        </w:tabs>
        <w:rPr>
          <w:rFonts w:ascii="Times New Roman" w:hAnsi="Times New Roman" w:eastAsia="仿宋_GB2312" w:cs="Times New Roman"/>
          <w:sz w:val="32"/>
          <w:szCs w:val="32"/>
        </w:rPr>
      </w:pPr>
      <w:r>
        <w:fldChar w:fldCharType="begin"/>
      </w:r>
      <w:r>
        <w:instrText xml:space="preserve"> HYPERLINK \l "_Toc6154" </w:instrText>
      </w:r>
      <w:r>
        <w:fldChar w:fldCharType="separate"/>
      </w:r>
      <w:r>
        <w:rPr>
          <w:rFonts w:ascii="Times New Roman" w:hAnsi="Times New Roman" w:eastAsia="仿宋_GB2312" w:cs="Times New Roman"/>
          <w:bCs/>
          <w:sz w:val="32"/>
          <w:szCs w:val="32"/>
        </w:rPr>
        <w:t xml:space="preserve">第三部分 </w:t>
      </w:r>
      <w:r>
        <w:rPr>
          <w:rFonts w:hint="eastAsia" w:ascii="Times New Roman" w:hAnsi="Times New Roman" w:eastAsia="仿宋_GB2312" w:cs="Times New Roman"/>
          <w:bCs/>
          <w:sz w:val="32"/>
          <w:szCs w:val="32"/>
          <w:lang w:eastAsia="zh-CN"/>
        </w:rPr>
        <w:t xml:space="preserve"> </w:t>
      </w:r>
      <w:r>
        <w:rPr>
          <w:rFonts w:ascii="Times New Roman" w:hAnsi="Times New Roman" w:eastAsia="仿宋_GB2312" w:cs="Times New Roman"/>
          <w:bCs/>
          <w:sz w:val="32"/>
          <w:szCs w:val="32"/>
        </w:rPr>
        <w:t>技术需求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_Toc6154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- 18 -</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14:paraId="191AA24D">
      <w:pPr>
        <w:pStyle w:val="9"/>
        <w:tabs>
          <w:tab w:val="right" w:leader="dot" w:pos="9071"/>
        </w:tabs>
        <w:rPr>
          <w:rFonts w:ascii="Times New Roman" w:hAnsi="Times New Roman" w:eastAsia="仿宋_GB2312" w:cs="Times New Roman"/>
          <w:sz w:val="32"/>
          <w:szCs w:val="32"/>
        </w:rPr>
      </w:pPr>
      <w:r>
        <w:fldChar w:fldCharType="begin"/>
      </w:r>
      <w:r>
        <w:instrText xml:space="preserve"> HYPERLINK \l "_Toc14990" </w:instrText>
      </w:r>
      <w:r>
        <w:fldChar w:fldCharType="separate"/>
      </w:r>
      <w:r>
        <w:rPr>
          <w:rFonts w:ascii="Times New Roman" w:hAnsi="Times New Roman" w:eastAsia="仿宋_GB2312" w:cs="Times New Roman"/>
          <w:bCs/>
          <w:sz w:val="32"/>
          <w:szCs w:val="32"/>
        </w:rPr>
        <w:t>第四部分</w:t>
      </w:r>
      <w:r>
        <w:rPr>
          <w:rFonts w:hint="eastAsia" w:ascii="Times New Roman" w:hAnsi="Times New Roman" w:eastAsia="仿宋_GB2312" w:cs="Times New Roman"/>
          <w:bCs/>
          <w:sz w:val="32"/>
          <w:szCs w:val="32"/>
          <w:lang w:eastAsia="zh-CN"/>
        </w:rPr>
        <w:t xml:space="preserve">  </w:t>
      </w:r>
      <w:r>
        <w:rPr>
          <w:rFonts w:ascii="Times New Roman" w:hAnsi="Times New Roman" w:eastAsia="仿宋_GB2312" w:cs="Times New Roman"/>
          <w:bCs/>
          <w:sz w:val="32"/>
          <w:szCs w:val="32"/>
        </w:rPr>
        <w:t>评分标准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_Toc14990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- 19 -</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14:paraId="2DD12BAE">
      <w:pPr>
        <w:pStyle w:val="9"/>
        <w:tabs>
          <w:tab w:val="right" w:leader="dot" w:pos="9071"/>
        </w:tabs>
        <w:rPr>
          <w:rFonts w:ascii="Times New Roman" w:hAnsi="Times New Roman" w:eastAsia="仿宋_GB2312" w:cs="Times New Roman"/>
          <w:sz w:val="32"/>
          <w:szCs w:val="32"/>
        </w:rPr>
      </w:pPr>
      <w:r>
        <w:fldChar w:fldCharType="begin"/>
      </w:r>
      <w:r>
        <w:instrText xml:space="preserve"> HYPERLINK \l "_Toc17268" </w:instrText>
      </w:r>
      <w:r>
        <w:fldChar w:fldCharType="separate"/>
      </w:r>
      <w:r>
        <w:rPr>
          <w:rFonts w:ascii="Times New Roman" w:hAnsi="Times New Roman" w:eastAsia="仿宋_GB2312" w:cs="Times New Roman"/>
          <w:bCs/>
          <w:sz w:val="32"/>
          <w:szCs w:val="32"/>
        </w:rPr>
        <w:t>第五部分  响应文件格式</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_Toc17268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- 21 -</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14:paraId="4C858588">
      <w:pPr>
        <w:pStyle w:val="9"/>
        <w:tabs>
          <w:tab w:val="right" w:leader="dot" w:pos="9071"/>
        </w:tabs>
        <w:rPr>
          <w:rFonts w:ascii="Times New Roman" w:hAnsi="Times New Roman" w:cs="Times New Roman"/>
        </w:rPr>
      </w:pPr>
      <w:r>
        <w:fldChar w:fldCharType="begin"/>
      </w:r>
      <w:r>
        <w:instrText xml:space="preserve"> HYPERLINK \l "_Toc20763" </w:instrText>
      </w:r>
      <w:r>
        <w:fldChar w:fldCharType="separate"/>
      </w:r>
      <w:r>
        <w:rPr>
          <w:rFonts w:ascii="Times New Roman" w:hAnsi="Times New Roman" w:eastAsia="仿宋_GB2312" w:cs="Times New Roman"/>
          <w:sz w:val="32"/>
          <w:szCs w:val="32"/>
        </w:rPr>
        <w:t>第六部分  合同文本</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_Toc20763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- 37 -</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14:paraId="6618F6C5">
      <w:pPr>
        <w:pStyle w:val="9"/>
        <w:tabs>
          <w:tab w:val="right" w:leader="dot" w:pos="9061"/>
        </w:tabs>
        <w:spacing w:line="720" w:lineRule="auto"/>
        <w:rPr>
          <w:rFonts w:ascii="Times New Roman" w:hAnsi="Times New Roman" w:eastAsia="宋体" w:cs="Times New Roman"/>
          <w:b/>
          <w:lang w:eastAsia="zh-CN"/>
        </w:rPr>
        <w:sectPr>
          <w:pgSz w:w="11907" w:h="16840"/>
          <w:pgMar w:top="1304" w:right="1418" w:bottom="1247" w:left="1418" w:header="851" w:footer="992" w:gutter="0"/>
          <w:pgNumType w:fmt="numberInDash"/>
          <w:cols w:space="720" w:num="1"/>
        </w:sectPr>
      </w:pPr>
      <w:r>
        <w:rPr>
          <w:rFonts w:ascii="Times New Roman" w:hAnsi="Times New Roman" w:eastAsia="宋体" w:cs="Times New Roman"/>
          <w:lang w:eastAsia="zh-CN"/>
        </w:rPr>
        <w:fldChar w:fldCharType="end"/>
      </w:r>
      <w:bookmarkEnd w:id="0"/>
      <w:bookmarkEnd w:id="1"/>
      <w:bookmarkEnd w:id="2"/>
      <w:bookmarkEnd w:id="3"/>
      <w:bookmarkEnd w:id="4"/>
      <w:bookmarkStart w:id="5" w:name="_Toc213396945"/>
      <w:bookmarkStart w:id="6" w:name="_Toc183582202"/>
      <w:bookmarkStart w:id="7" w:name="_Toc89075871"/>
      <w:bookmarkStart w:id="8" w:name="_Toc213396759"/>
      <w:bookmarkStart w:id="9" w:name="_Toc183682339"/>
      <w:bookmarkStart w:id="10" w:name="_Toc213496267"/>
      <w:bookmarkStart w:id="11" w:name="_Toc213397009"/>
      <w:bookmarkStart w:id="12" w:name="_Toc387242469"/>
      <w:bookmarkStart w:id="13" w:name="_Toc77400776"/>
      <w:bookmarkStart w:id="14" w:name="_Toc217446031"/>
    </w:p>
    <w:p w14:paraId="47DA1F98">
      <w:pPr>
        <w:pStyle w:val="2"/>
        <w:keepNext w:val="0"/>
        <w:keepLines w:val="0"/>
        <w:spacing w:before="0" w:after="0" w:line="578" w:lineRule="exact"/>
        <w:ind w:firstLine="880"/>
        <w:jc w:val="center"/>
        <w:rPr>
          <w:rFonts w:hint="eastAsia" w:ascii="方正小标宋简体" w:hAnsi="方正小标宋简体" w:eastAsia="方正小标宋简体" w:cs="方正小标宋简体"/>
          <w:b w:val="0"/>
          <w:sz w:val="44"/>
          <w:szCs w:val="44"/>
        </w:rPr>
      </w:pPr>
      <w:bookmarkStart w:id="15" w:name="_Toc104383958"/>
      <w:bookmarkStart w:id="16" w:name="_Toc7991"/>
      <w:r>
        <w:rPr>
          <w:rFonts w:hint="eastAsia" w:ascii="方正小标宋简体" w:hAnsi="方正小标宋简体" w:eastAsia="方正小标宋简体" w:cs="方正小标宋简体"/>
          <w:b w:val="0"/>
          <w:sz w:val="44"/>
          <w:szCs w:val="44"/>
        </w:rPr>
        <w:t>第一部分  竞争性磋商公告</w:t>
      </w:r>
      <w:bookmarkEnd w:id="15"/>
      <w:bookmarkEnd w:id="16"/>
    </w:p>
    <w:p w14:paraId="15FADE37">
      <w:pPr>
        <w:tabs>
          <w:tab w:val="left" w:pos="418"/>
        </w:tabs>
        <w:spacing w:line="578" w:lineRule="exact"/>
        <w:jc w:val="center"/>
        <w:rPr>
          <w:rFonts w:hint="eastAsia" w:ascii="仿宋_GB2312" w:hAnsi="仿宋_GB2312" w:eastAsia="仿宋_GB2312" w:cs="仿宋_GB2312"/>
          <w:sz w:val="32"/>
          <w:szCs w:val="32"/>
        </w:rPr>
      </w:pPr>
    </w:p>
    <w:p w14:paraId="542BAF35">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达州市土溪口水库运行保护中心（以下简称“采购人”）以竞争性磋商方式，为“土溪口水库工程</w:t>
      </w:r>
      <w:r>
        <w:rPr>
          <w:rFonts w:hint="eastAsia" w:ascii="仿宋_GB2312" w:hAnsi="仿宋_GB2312" w:eastAsia="仿宋_GB2312" w:cs="仿宋_GB2312"/>
          <w:sz w:val="32"/>
          <w:szCs w:val="32"/>
          <w:lang w:val="en-US" w:eastAsia="zh-CN"/>
        </w:rPr>
        <w:t>2026年</w:t>
      </w:r>
      <w:r>
        <w:rPr>
          <w:rFonts w:hint="eastAsia" w:ascii="仿宋_GB2312" w:hAnsi="仿宋_GB2312" w:eastAsia="仿宋_GB2312" w:cs="仿宋_GB2312"/>
          <w:sz w:val="32"/>
          <w:szCs w:val="32"/>
        </w:rPr>
        <w:t>安全度汛技术咨询服务”选择合格的供应商。</w:t>
      </w:r>
    </w:p>
    <w:p w14:paraId="2AED6C2E">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一、项目概况</w:t>
      </w:r>
    </w:p>
    <w:p w14:paraId="715BF813">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.项目名称：土溪口水库工程安全度汛技术咨询服务项目</w:t>
      </w:r>
    </w:p>
    <w:p w14:paraId="7048E929">
      <w:pPr>
        <w:spacing w:line="578" w:lineRule="exact"/>
        <w:ind w:firstLine="640" w:firstLineChars="200"/>
        <w:rPr>
          <w:rFonts w:hint="eastAsia" w:ascii="仿宋_GB2312" w:hAnsi="仿宋_GB2312" w:eastAsia="仿宋_GB2312" w:cs="仿宋_GB2312"/>
          <w:sz w:val="32"/>
          <w:szCs w:val="32"/>
          <w:lang w:eastAsia="zh-CN"/>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.采购内容：编制《</w:t>
      </w:r>
      <w:r>
        <w:rPr>
          <w:rFonts w:hint="eastAsia" w:ascii="仿宋_GB2312" w:hAnsi="仿宋_GB2312" w:eastAsia="仿宋_GB2312" w:cs="仿宋_GB2312"/>
          <w:sz w:val="32"/>
          <w:szCs w:val="32"/>
          <w:highlight w:val="none"/>
        </w:rPr>
        <w:t>土溪口水库工程202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年度汛方案》</w:t>
      </w:r>
      <w:r>
        <w:rPr>
          <w:rFonts w:hint="eastAsia" w:ascii="仿宋_GB2312" w:hAnsi="仿宋_GB2312" w:eastAsia="仿宋_GB2312" w:cs="仿宋_GB2312"/>
          <w:sz w:val="32"/>
          <w:szCs w:val="32"/>
        </w:rPr>
        <w:t>《土溪口水库工程202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年防洪抢险应急预案》《土溪口水库工程202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年超标准洪水应急预案》和《土溪口水库工程</w:t>
      </w:r>
      <w:r>
        <w:rPr>
          <w:rFonts w:hint="eastAsia" w:ascii="仿宋_GB2312" w:hAnsi="仿宋_GB2312" w:eastAsia="仿宋_GB2312" w:cs="仿宋_GB2312"/>
          <w:sz w:val="32"/>
          <w:szCs w:val="32"/>
          <w:lang w:val="en-US" w:eastAsia="zh-CN"/>
        </w:rPr>
        <w:t>2026年</w:t>
      </w:r>
      <w:r>
        <w:rPr>
          <w:rFonts w:hint="eastAsia" w:ascii="仿宋_GB2312" w:hAnsi="仿宋_GB2312" w:eastAsia="仿宋_GB2312" w:cs="仿宋_GB2312"/>
          <w:sz w:val="32"/>
          <w:szCs w:val="32"/>
        </w:rPr>
        <w:t>溃坝洪水计算分析报告》</w:t>
      </w:r>
      <w:r>
        <w:rPr>
          <w:rFonts w:hint="eastAsia" w:ascii="仿宋_GB2312" w:hAnsi="仿宋_GB2312" w:eastAsia="仿宋_GB2312" w:cs="仿宋_GB2312"/>
          <w:sz w:val="32"/>
          <w:szCs w:val="32"/>
          <w:lang w:eastAsia="zh-CN"/>
        </w:rPr>
        <w:t>。</w:t>
      </w:r>
    </w:p>
    <w:p w14:paraId="3825B844">
      <w:pPr>
        <w:spacing w:line="578" w:lineRule="exact"/>
        <w:ind w:firstLine="640" w:firstLineChars="200"/>
        <w:rPr>
          <w:rFonts w:hint="eastAsia" w:ascii="仿宋_GB2312" w:hAnsi="仿宋_GB2312" w:eastAsia="仿宋_GB2312" w:cs="仿宋_GB2312"/>
          <w:color w:val="FF0000"/>
          <w:sz w:val="32"/>
          <w:szCs w:val="32"/>
          <w:highlight w:val="none"/>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.项目预算金额：</w:t>
      </w:r>
      <w:r>
        <w:rPr>
          <w:rFonts w:hint="eastAsia" w:ascii="仿宋_GB2312" w:hAnsi="仿宋_GB2312" w:eastAsia="仿宋_GB2312" w:cs="仿宋_GB2312"/>
          <w:sz w:val="32"/>
          <w:szCs w:val="32"/>
          <w:highlight w:val="none"/>
        </w:rPr>
        <w:t>人民币</w:t>
      </w:r>
      <w:r>
        <w:rPr>
          <w:rFonts w:hint="eastAsia" w:ascii="Times New Roman" w:hAnsi="Times New Roman" w:eastAsia="仿宋_GB2312" w:cs="Times New Roman"/>
          <w:sz w:val="32"/>
          <w:szCs w:val="32"/>
          <w:highlight w:val="none"/>
          <w:u w:val="single"/>
          <w:lang w:val="en-US" w:eastAsia="zh-CN"/>
        </w:rPr>
        <w:t>26</w:t>
      </w:r>
      <w:r>
        <w:rPr>
          <w:rFonts w:hint="eastAsia" w:ascii="Times New Roman" w:hAnsi="Times New Roman" w:eastAsia="仿宋_GB2312" w:cs="Times New Roman"/>
          <w:sz w:val="32"/>
          <w:szCs w:val="32"/>
          <w:highlight w:val="none"/>
        </w:rPr>
        <w:t>万</w:t>
      </w:r>
      <w:r>
        <w:rPr>
          <w:rFonts w:hint="eastAsia" w:ascii="仿宋_GB2312" w:hAnsi="仿宋_GB2312" w:eastAsia="仿宋_GB2312" w:cs="仿宋_GB2312"/>
          <w:sz w:val="32"/>
          <w:szCs w:val="32"/>
          <w:highlight w:val="none"/>
        </w:rPr>
        <w:t>元，大写：</w:t>
      </w:r>
      <w:r>
        <w:rPr>
          <w:rFonts w:hint="eastAsia" w:ascii="仿宋_GB2312" w:hAnsi="仿宋_GB2312" w:eastAsia="仿宋_GB2312" w:cs="仿宋_GB2312"/>
          <w:sz w:val="32"/>
          <w:szCs w:val="32"/>
          <w:highlight w:val="none"/>
          <w:u w:val="single"/>
          <w:lang w:val="en-US" w:eastAsia="zh-CN"/>
        </w:rPr>
        <w:t>贰拾陆万元整</w:t>
      </w:r>
      <w:r>
        <w:rPr>
          <w:rFonts w:hint="eastAsia" w:ascii="仿宋_GB2312" w:hAnsi="仿宋_GB2312" w:eastAsia="仿宋_GB2312" w:cs="仿宋_GB2312"/>
          <w:sz w:val="32"/>
          <w:szCs w:val="32"/>
          <w:highlight w:val="none"/>
        </w:rPr>
        <w:t>。</w:t>
      </w:r>
    </w:p>
    <w:p w14:paraId="1A1AD19C">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4</w:t>
      </w:r>
      <w:r>
        <w:rPr>
          <w:rFonts w:hint="eastAsia" w:ascii="仿宋_GB2312" w:hAnsi="仿宋_GB2312" w:eastAsia="仿宋_GB2312" w:cs="仿宋_GB2312"/>
          <w:sz w:val="32"/>
          <w:szCs w:val="32"/>
        </w:rPr>
        <w:t>.项目资金来源：财政资金</w:t>
      </w:r>
    </w:p>
    <w:p w14:paraId="11E81D66">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5</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需要落实的政府采购政策：无</w:t>
      </w:r>
    </w:p>
    <w:p w14:paraId="10BC8FB9">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二、供应商资格要求</w:t>
      </w:r>
    </w:p>
    <w:p w14:paraId="2CE2727E">
      <w:pPr>
        <w:spacing w:line="578" w:lineRule="exact"/>
        <w:ind w:firstLine="640" w:firstLineChars="200"/>
        <w:rPr>
          <w:rFonts w:hint="eastAsia" w:ascii="仿宋_GB2312" w:hAnsi="仿宋_GB2312" w:eastAsia="仿宋_GB2312" w:cs="仿宋_GB2312"/>
          <w:color w:val="auto"/>
          <w:sz w:val="32"/>
          <w:szCs w:val="32"/>
        </w:rPr>
      </w:pPr>
      <w:r>
        <w:rPr>
          <w:rFonts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.符合《中华人民共和国政府采购法》第二十二条之规定。</w:t>
      </w:r>
    </w:p>
    <w:p w14:paraId="064F0DCA">
      <w:pPr>
        <w:spacing w:line="578" w:lineRule="exact"/>
        <w:ind w:firstLine="640" w:firstLineChars="200"/>
        <w:rPr>
          <w:rFonts w:hint="eastAsia" w:ascii="仿宋_GB2312" w:hAnsi="仿宋_GB2312" w:eastAsia="仿宋_GB2312" w:cs="仿宋_GB2312"/>
          <w:color w:val="auto"/>
          <w:sz w:val="32"/>
          <w:szCs w:val="32"/>
        </w:rPr>
      </w:pPr>
      <w:r>
        <w:rPr>
          <w:rFonts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.应具有独立承担民事责任的能力。</w:t>
      </w:r>
    </w:p>
    <w:p w14:paraId="21D0B2D6">
      <w:pPr>
        <w:spacing w:line="578" w:lineRule="exact"/>
        <w:ind w:firstLine="640" w:firstLineChars="200"/>
        <w:rPr>
          <w:rFonts w:hint="eastAsia" w:ascii="仿宋_GB2312" w:hAnsi="仿宋_GB2312" w:eastAsia="仿宋_GB2312" w:cs="仿宋_GB2312"/>
          <w:color w:val="auto"/>
          <w:sz w:val="32"/>
          <w:szCs w:val="32"/>
        </w:rPr>
      </w:pPr>
      <w:r>
        <w:rPr>
          <w:rFonts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.应</w:t>
      </w:r>
      <w:r>
        <w:rPr>
          <w:rFonts w:hint="eastAsia" w:ascii="仿宋_GB2312" w:hAnsi="仿宋_GB2312" w:eastAsia="仿宋_GB2312" w:cs="仿宋_GB2312"/>
          <w:color w:val="auto"/>
          <w:sz w:val="32"/>
          <w:szCs w:val="32"/>
          <w:lang w:val="zh-CN"/>
        </w:rPr>
        <w:t>具有履行合同所必</w:t>
      </w:r>
      <w:r>
        <w:rPr>
          <w:rFonts w:hint="eastAsia" w:ascii="仿宋_GB2312" w:hAnsi="仿宋_GB2312" w:eastAsia="仿宋_GB2312" w:cs="仿宋_GB2312"/>
          <w:color w:val="auto"/>
          <w:sz w:val="32"/>
          <w:szCs w:val="32"/>
          <w:lang w:val="en-US" w:eastAsia="zh-CN"/>
        </w:rPr>
        <w:t>需</w:t>
      </w:r>
      <w:r>
        <w:rPr>
          <w:rFonts w:hint="eastAsia" w:ascii="仿宋_GB2312" w:hAnsi="仿宋_GB2312" w:eastAsia="仿宋_GB2312" w:cs="仿宋_GB2312"/>
          <w:color w:val="auto"/>
          <w:sz w:val="32"/>
          <w:szCs w:val="32"/>
          <w:lang w:val="zh-CN"/>
        </w:rPr>
        <w:t>的专业技术能力</w:t>
      </w:r>
      <w:r>
        <w:rPr>
          <w:rFonts w:hint="eastAsia" w:ascii="仿宋_GB2312" w:hAnsi="仿宋_GB2312" w:eastAsia="仿宋_GB2312" w:cs="仿宋_GB2312"/>
          <w:color w:val="auto"/>
          <w:sz w:val="32"/>
          <w:szCs w:val="32"/>
        </w:rPr>
        <w:t>。</w:t>
      </w:r>
    </w:p>
    <w:p w14:paraId="5E6974E9">
      <w:pPr>
        <w:spacing w:line="578" w:lineRule="exact"/>
        <w:ind w:firstLine="640" w:firstLineChars="200"/>
        <w:rPr>
          <w:rFonts w:hint="eastAsia" w:ascii="仿宋_GB2312" w:hAnsi="仿宋_GB2312" w:eastAsia="仿宋_GB2312" w:cs="仿宋_GB2312"/>
          <w:color w:val="auto"/>
          <w:sz w:val="32"/>
          <w:szCs w:val="32"/>
        </w:rPr>
      </w:pPr>
      <w:r>
        <w:rPr>
          <w:rFonts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zh-CN"/>
        </w:rPr>
        <w:t>有依法缴纳税收和社会保障金的良好记录</w:t>
      </w:r>
      <w:r>
        <w:rPr>
          <w:rFonts w:hint="eastAsia" w:ascii="仿宋_GB2312" w:hAnsi="仿宋_GB2312" w:eastAsia="仿宋_GB2312" w:cs="仿宋_GB2312"/>
          <w:color w:val="auto"/>
          <w:sz w:val="32"/>
          <w:szCs w:val="32"/>
        </w:rPr>
        <w:t>。</w:t>
      </w:r>
    </w:p>
    <w:p w14:paraId="0EB6FF31">
      <w:pPr>
        <w:spacing w:line="578" w:lineRule="exact"/>
        <w:ind w:firstLine="640" w:firstLineChars="200"/>
        <w:rPr>
          <w:rFonts w:hint="eastAsia" w:ascii="仿宋_GB2312" w:hAnsi="仿宋_GB2312" w:eastAsia="仿宋_GB2312" w:cs="仿宋_GB2312"/>
          <w:color w:val="auto"/>
          <w:sz w:val="32"/>
          <w:szCs w:val="32"/>
        </w:rPr>
      </w:pPr>
      <w:r>
        <w:rPr>
          <w:rFonts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zh-CN"/>
        </w:rPr>
        <w:t>参加政府采购活动前三年内，在经营活动中没有重大违法记录。</w:t>
      </w:r>
    </w:p>
    <w:p w14:paraId="1D68A789">
      <w:pPr>
        <w:spacing w:line="578" w:lineRule="exact"/>
        <w:ind w:firstLine="640" w:firstLineChars="200"/>
        <w:rPr>
          <w:rFonts w:hint="eastAsia" w:ascii="仿宋_GB2312" w:hAnsi="仿宋_GB2312" w:eastAsia="仿宋_GB2312" w:cs="仿宋_GB2312"/>
          <w:color w:val="auto"/>
          <w:sz w:val="32"/>
          <w:szCs w:val="32"/>
        </w:rPr>
      </w:pPr>
      <w:r>
        <w:rPr>
          <w:rFonts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.法律、行政法规规定的其他条件。</w:t>
      </w:r>
    </w:p>
    <w:p w14:paraId="52EFF71A">
      <w:pPr>
        <w:pStyle w:val="4"/>
        <w:spacing w:after="0" w:line="578" w:lineRule="exact"/>
        <w:ind w:firstLine="640" w:firstLineChars="200"/>
        <w:rPr>
          <w:rFonts w:hint="eastAsia" w:ascii="仿宋_GB2312" w:hAnsi="仿宋_GB2312" w:eastAsia="仿宋_GB2312" w:cs="仿宋_GB2312"/>
          <w:color w:val="auto"/>
          <w:sz w:val="32"/>
          <w:szCs w:val="32"/>
        </w:rPr>
      </w:pPr>
      <w:r>
        <w:rPr>
          <w:rFonts w:ascii="Times New Roman" w:hAnsi="Times New Roman" w:eastAsia="仿宋_GB2312" w:cs="Times New Roman"/>
          <w:color w:val="auto"/>
          <w:sz w:val="32"/>
          <w:szCs w:val="32"/>
        </w:rPr>
        <w:t>7</w:t>
      </w:r>
      <w:r>
        <w:rPr>
          <w:rFonts w:hint="eastAsia" w:ascii="仿宋_GB2312" w:hAnsi="仿宋_GB2312" w:eastAsia="仿宋_GB2312" w:cs="仿宋_GB2312"/>
          <w:color w:val="auto"/>
          <w:sz w:val="32"/>
          <w:szCs w:val="32"/>
        </w:rPr>
        <w:t>.具有国家行政主管部门颁发的工程设计水利行业丙级及以上资质。</w:t>
      </w:r>
    </w:p>
    <w:p w14:paraId="5AE79375">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三、本项目不接受联合体参加磋商</w:t>
      </w:r>
    </w:p>
    <w:p w14:paraId="0110E8BE">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四、磋商文件</w:t>
      </w:r>
      <w:r>
        <w:rPr>
          <w:rFonts w:hint="eastAsia" w:ascii="黑体" w:hAnsi="黑体" w:eastAsia="黑体" w:cs="黑体"/>
          <w:sz w:val="32"/>
          <w:szCs w:val="32"/>
          <w:lang w:val="en-US" w:eastAsia="zh-CN"/>
        </w:rPr>
        <w:t>发布</w:t>
      </w:r>
      <w:r>
        <w:rPr>
          <w:rFonts w:hint="eastAsia" w:ascii="黑体" w:hAnsi="黑体" w:eastAsia="黑体" w:cs="黑体"/>
          <w:sz w:val="32"/>
          <w:szCs w:val="32"/>
        </w:rPr>
        <w:t>时间</w:t>
      </w:r>
    </w:p>
    <w:p w14:paraId="00BD7075">
      <w:pPr>
        <w:spacing w:line="578"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31</w:t>
      </w:r>
      <w:r>
        <w:rPr>
          <w:rFonts w:ascii="Times New Roman" w:hAnsi="Times New Roman" w:eastAsia="仿宋_GB2312" w:cs="Times New Roman"/>
          <w:sz w:val="32"/>
          <w:szCs w:val="32"/>
          <w:highlight w:val="none"/>
        </w:rPr>
        <w:t>日09：00起至202</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val="en-US" w:eastAsia="zh-CN"/>
        </w:rPr>
        <w:t>9</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0</w:t>
      </w:r>
      <w:r>
        <w:rPr>
          <w:rFonts w:hint="eastAsia" w:ascii="仿宋_GB2312" w:hAnsi="仿宋_GB2312" w:eastAsia="仿宋_GB2312" w:cs="仿宋_GB2312"/>
          <w:sz w:val="32"/>
          <w:szCs w:val="32"/>
          <w:highlight w:val="none"/>
        </w:rPr>
        <w:t>止。</w:t>
      </w:r>
    </w:p>
    <w:bookmarkEnd w:id="5"/>
    <w:bookmarkEnd w:id="6"/>
    <w:bookmarkEnd w:id="7"/>
    <w:bookmarkEnd w:id="8"/>
    <w:bookmarkEnd w:id="9"/>
    <w:bookmarkEnd w:id="10"/>
    <w:bookmarkEnd w:id="11"/>
    <w:bookmarkEnd w:id="12"/>
    <w:bookmarkEnd w:id="13"/>
    <w:bookmarkEnd w:id="14"/>
    <w:p w14:paraId="7E8FEB27">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五、获取磋商文件方式</w:t>
      </w:r>
    </w:p>
    <w:p w14:paraId="723D3AC6">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供应商请在达州市水务局门户网站获取电子版竞争性磋商文件。</w:t>
      </w:r>
    </w:p>
    <w:p w14:paraId="3204BC56">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六、磋商文件递交起止时间</w:t>
      </w:r>
    </w:p>
    <w:p w14:paraId="7AB9F333">
      <w:pPr>
        <w:spacing w:line="578"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val="en-US" w:eastAsia="zh-CN"/>
        </w:rPr>
        <w:t>上</w:t>
      </w:r>
      <w:r>
        <w:rPr>
          <w:rFonts w:ascii="Times New Roman" w:hAnsi="Times New Roman" w:eastAsia="仿宋_GB2312" w:cs="Times New Roman"/>
          <w:sz w:val="32"/>
          <w:szCs w:val="32"/>
          <w:highlight w:val="none"/>
        </w:rPr>
        <w:t>午</w:t>
      </w:r>
      <w:r>
        <w:rPr>
          <w:rFonts w:hint="eastAsia" w:ascii="Times New Roman" w:hAnsi="Times New Roman" w:eastAsia="仿宋_GB2312" w:cs="Times New Roman"/>
          <w:sz w:val="32"/>
          <w:szCs w:val="32"/>
          <w:highlight w:val="none"/>
          <w:lang w:val="en-US" w:eastAsia="zh-CN"/>
        </w:rPr>
        <w:t>9</w:t>
      </w:r>
      <w:r>
        <w:rPr>
          <w:rFonts w:ascii="Times New Roman" w:hAnsi="Times New Roman" w:eastAsia="仿宋_GB2312" w:cs="Times New Roman"/>
          <w:sz w:val="32"/>
          <w:szCs w:val="32"/>
          <w:highlight w:val="none"/>
        </w:rPr>
        <w:t>时</w:t>
      </w:r>
      <w:r>
        <w:rPr>
          <w:rFonts w:hint="eastAsia" w:ascii="Times New Roman" w:hAnsi="Times New Roman" w:eastAsia="仿宋_GB2312" w:cs="Times New Roman"/>
          <w:sz w:val="32"/>
          <w:szCs w:val="32"/>
          <w:highlight w:val="none"/>
          <w:lang w:val="en-US" w:eastAsia="zh-CN"/>
        </w:rPr>
        <w:t>00</w:t>
      </w:r>
      <w:bookmarkStart w:id="110" w:name="_GoBack"/>
      <w:bookmarkEnd w:id="110"/>
      <w:r>
        <w:rPr>
          <w:rFonts w:ascii="Times New Roman" w:hAnsi="Times New Roman" w:eastAsia="仿宋_GB2312" w:cs="Times New Roman"/>
          <w:sz w:val="32"/>
          <w:szCs w:val="32"/>
          <w:highlight w:val="none"/>
        </w:rPr>
        <w:t>分至</w:t>
      </w:r>
      <w:r>
        <w:rPr>
          <w:rFonts w:hint="eastAsia"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val="en-US" w:eastAsia="zh-CN"/>
        </w:rPr>
        <w:t>9</w:t>
      </w:r>
      <w:r>
        <w:rPr>
          <w:rFonts w:ascii="Times New Roman" w:hAnsi="Times New Roman" w:eastAsia="仿宋_GB2312" w:cs="Times New Roman"/>
          <w:sz w:val="32"/>
          <w:szCs w:val="32"/>
          <w:highlight w:val="none"/>
        </w:rPr>
        <w:t>时</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0分（北京时间）。</w:t>
      </w:r>
    </w:p>
    <w:p w14:paraId="4AB3E210">
      <w:pPr>
        <w:widowControl/>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逾期递交或不符合规定的响应文件恕不接受。</w:t>
      </w:r>
    </w:p>
    <w:p w14:paraId="71F46770">
      <w:pPr>
        <w:spacing w:line="578"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七、递交地点</w:t>
      </w:r>
      <w:r>
        <w:rPr>
          <w:rFonts w:hint="eastAsia" w:ascii="黑体" w:hAnsi="黑体" w:eastAsia="黑体" w:cs="黑体"/>
          <w:kern w:val="0"/>
          <w:sz w:val="32"/>
          <w:szCs w:val="32"/>
          <w:lang w:eastAsia="zh-CN"/>
        </w:rPr>
        <w:t>及</w:t>
      </w:r>
      <w:r>
        <w:rPr>
          <w:rFonts w:hint="eastAsia" w:ascii="黑体" w:hAnsi="黑体" w:eastAsia="黑体" w:cs="黑体"/>
          <w:kern w:val="0"/>
          <w:sz w:val="32"/>
          <w:szCs w:val="32"/>
        </w:rPr>
        <w:t>磋商地点</w:t>
      </w:r>
    </w:p>
    <w:p w14:paraId="4831158B">
      <w:pPr>
        <w:spacing w:line="578"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highlight w:val="none"/>
          <w:lang w:val="en-US" w:eastAsia="zh-CN"/>
        </w:rPr>
        <w:t>达州市宣汉县渡口土家族乡青龙街道达州市土溪口水库运行保护中心二楼会议室</w:t>
      </w:r>
      <w:r>
        <w:rPr>
          <w:rFonts w:hint="eastAsia" w:ascii="仿宋_GB2312" w:hAnsi="仿宋_GB2312" w:eastAsia="仿宋_GB2312" w:cs="仿宋_GB2312"/>
          <w:kern w:val="0"/>
          <w:sz w:val="32"/>
          <w:szCs w:val="32"/>
          <w:highlight w:val="none"/>
          <w:lang w:eastAsia="zh-CN"/>
        </w:rPr>
        <w:t>。</w:t>
      </w:r>
    </w:p>
    <w:p w14:paraId="1E145807">
      <w:pPr>
        <w:spacing w:line="578"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八、评审方法</w:t>
      </w:r>
    </w:p>
    <w:p w14:paraId="0D81D8EA">
      <w:pPr>
        <w:spacing w:line="578"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磋商小组对供应商资格和符合性进行审查；审查结束后，与通过审查的供应商进行充分磋商，然后采用综合评分法进行综合评分，评审得分最高的供应商为成交候选供应商。</w:t>
      </w:r>
    </w:p>
    <w:p w14:paraId="496B50B7">
      <w:pPr>
        <w:spacing w:line="578"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九、采购人及联系方式</w:t>
      </w:r>
    </w:p>
    <w:p w14:paraId="35044FCD">
      <w:pPr>
        <w:spacing w:line="578"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采购人名称：达州市土溪口水库运行保护中心</w:t>
      </w:r>
    </w:p>
    <w:p w14:paraId="2159B990">
      <w:pPr>
        <w:spacing w:line="578"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采购人联系方式：冉智文   联系电话：</w:t>
      </w:r>
      <w:r>
        <w:rPr>
          <w:rFonts w:ascii="Times New Roman" w:hAnsi="Times New Roman" w:eastAsia="仿宋_GB2312" w:cs="Times New Roman"/>
          <w:kern w:val="0"/>
          <w:sz w:val="32"/>
          <w:szCs w:val="32"/>
        </w:rPr>
        <w:t>17738646661</w:t>
      </w:r>
    </w:p>
    <w:p w14:paraId="19657CB6">
      <w:pPr>
        <w:spacing w:line="578" w:lineRule="exact"/>
        <w:ind w:firstLine="3840" w:firstLineChars="1200"/>
        <w:rPr>
          <w:rFonts w:hint="eastAsia" w:ascii="仿宋_GB2312" w:hAnsi="仿宋_GB2312" w:eastAsia="仿宋_GB2312" w:cs="仿宋_GB2312"/>
          <w:kern w:val="0"/>
          <w:sz w:val="32"/>
          <w:szCs w:val="32"/>
        </w:rPr>
      </w:pPr>
    </w:p>
    <w:p w14:paraId="06789636">
      <w:pPr>
        <w:spacing w:line="578" w:lineRule="exact"/>
        <w:ind w:firstLine="3840" w:firstLineChars="1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达州市土溪口水库运行保护中心</w:t>
      </w:r>
    </w:p>
    <w:p w14:paraId="5B274708">
      <w:pPr>
        <w:spacing w:line="578" w:lineRule="exact"/>
        <w:jc w:val="center"/>
        <w:rPr>
          <w:rFonts w:hint="eastAsia" w:ascii="黑体" w:hAnsi="黑体" w:eastAsia="黑体" w:cs="黑体"/>
          <w:b/>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31</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rPr>
        <w:br w:type="page"/>
      </w:r>
      <w:bookmarkStart w:id="17" w:name="_Toc104383959"/>
      <w:bookmarkStart w:id="18" w:name="_Toc6448"/>
      <w:bookmarkStart w:id="19" w:name="_Toc449524470"/>
      <w:r>
        <w:rPr>
          <w:rFonts w:hint="eastAsia" w:ascii="黑体" w:hAnsi="黑体" w:eastAsia="黑体" w:cs="黑体"/>
          <w:bCs/>
          <w:sz w:val="32"/>
          <w:szCs w:val="32"/>
        </w:rPr>
        <w:t>第二部分  供应商须知</w:t>
      </w:r>
      <w:bookmarkEnd w:id="17"/>
      <w:bookmarkEnd w:id="18"/>
      <w:bookmarkEnd w:id="19"/>
    </w:p>
    <w:p w14:paraId="0CDCE2F3">
      <w:pPr>
        <w:pStyle w:val="3"/>
        <w:keepNext w:val="0"/>
        <w:keepLines w:val="0"/>
        <w:spacing w:before="0" w:after="0" w:line="578" w:lineRule="exact"/>
        <w:jc w:val="center"/>
        <w:rPr>
          <w:rFonts w:hint="eastAsia" w:ascii="仿宋_GB2312" w:hAnsi="仿宋_GB2312" w:eastAsia="仿宋_GB2312" w:cs="仿宋_GB2312"/>
          <w:b w:val="0"/>
          <w:kern w:val="44"/>
          <w:sz w:val="32"/>
          <w:szCs w:val="32"/>
        </w:rPr>
      </w:pPr>
      <w:bookmarkStart w:id="20" w:name="_Toc449524474"/>
      <w:bookmarkStart w:id="21" w:name="_Toc18820"/>
      <w:bookmarkStart w:id="22" w:name="_Toc520356146"/>
    </w:p>
    <w:p w14:paraId="10FB48C4">
      <w:pPr>
        <w:pStyle w:val="3"/>
        <w:keepNext w:val="0"/>
        <w:keepLines w:val="0"/>
        <w:spacing w:before="0" w:after="0" w:line="578" w:lineRule="exact"/>
        <w:jc w:val="center"/>
        <w:rPr>
          <w:rFonts w:hint="eastAsia" w:ascii="黑体" w:hAnsi="黑体" w:eastAsia="黑体" w:cs="黑体"/>
          <w:b w:val="0"/>
          <w:kern w:val="44"/>
          <w:sz w:val="32"/>
          <w:szCs w:val="32"/>
        </w:rPr>
      </w:pPr>
      <w:r>
        <w:rPr>
          <w:rFonts w:hint="eastAsia" w:ascii="黑体" w:hAnsi="黑体" w:eastAsia="黑体" w:cs="黑体"/>
          <w:b w:val="0"/>
          <w:kern w:val="44"/>
          <w:sz w:val="32"/>
          <w:szCs w:val="32"/>
        </w:rPr>
        <w:t>一、总则</w:t>
      </w:r>
    </w:p>
    <w:p w14:paraId="13233B6E">
      <w:pPr>
        <w:pStyle w:val="3"/>
        <w:keepNext w:val="0"/>
        <w:keepLines w:val="0"/>
        <w:spacing w:before="0" w:after="0" w:line="578" w:lineRule="exact"/>
        <w:jc w:val="center"/>
        <w:rPr>
          <w:rFonts w:hint="eastAsia" w:ascii="仿宋_GB2312" w:hAnsi="仿宋_GB2312" w:eastAsia="仿宋_GB2312" w:cs="仿宋_GB2312"/>
          <w:b w:val="0"/>
          <w:kern w:val="44"/>
          <w:sz w:val="32"/>
          <w:szCs w:val="32"/>
        </w:rPr>
      </w:pPr>
    </w:p>
    <w:p w14:paraId="49ABB597">
      <w:pPr>
        <w:spacing w:line="578" w:lineRule="exact"/>
        <w:ind w:firstLine="640" w:firstLineChars="200"/>
        <w:rPr>
          <w:rFonts w:hint="eastAsia" w:ascii="楷体_GB2312" w:hAnsi="楷体_GB2312" w:eastAsia="楷体_GB2312" w:cs="楷体_GB2312"/>
          <w:kern w:val="44"/>
          <w:sz w:val="32"/>
          <w:szCs w:val="32"/>
        </w:rPr>
      </w:pPr>
      <w:r>
        <w:rPr>
          <w:rFonts w:hint="eastAsia" w:ascii="楷体_GB2312" w:hAnsi="楷体_GB2312" w:eastAsia="楷体_GB2312" w:cs="楷体_GB2312"/>
          <w:kern w:val="44"/>
          <w:sz w:val="32"/>
          <w:szCs w:val="32"/>
        </w:rPr>
        <w:t>（一）适用范围</w:t>
      </w:r>
    </w:p>
    <w:p w14:paraId="5B623865">
      <w:pPr>
        <w:spacing w:line="578" w:lineRule="exact"/>
        <w:ind w:firstLine="640" w:firstLineChars="200"/>
        <w:rPr>
          <w:rFonts w:ascii="Times New Roman" w:hAnsi="Times New Roman" w:eastAsia="仿宋_GB2312" w:cs="Times New Roman"/>
          <w:kern w:val="44"/>
          <w:sz w:val="32"/>
          <w:szCs w:val="32"/>
        </w:rPr>
      </w:pPr>
      <w:r>
        <w:rPr>
          <w:rFonts w:ascii="Times New Roman" w:hAnsi="Times New Roman" w:eastAsia="仿宋_GB2312" w:cs="Times New Roman"/>
          <w:kern w:val="44"/>
          <w:sz w:val="32"/>
          <w:szCs w:val="32"/>
        </w:rPr>
        <w:t>1 本磋商文件仅适用于竞争性磋商邀请中所述项目的采购。</w:t>
      </w:r>
    </w:p>
    <w:p w14:paraId="621A7306">
      <w:pPr>
        <w:spacing w:line="578" w:lineRule="exact"/>
        <w:ind w:firstLine="640" w:firstLineChars="200"/>
        <w:rPr>
          <w:rFonts w:ascii="Times New Roman" w:hAnsi="Times New Roman" w:eastAsia="仿宋_GB2312" w:cs="Times New Roman"/>
          <w:kern w:val="44"/>
          <w:sz w:val="32"/>
          <w:szCs w:val="32"/>
        </w:rPr>
      </w:pPr>
      <w:r>
        <w:rPr>
          <w:rFonts w:ascii="Times New Roman" w:hAnsi="Times New Roman" w:eastAsia="仿宋_GB2312" w:cs="Times New Roman"/>
          <w:kern w:val="44"/>
          <w:sz w:val="32"/>
          <w:szCs w:val="32"/>
        </w:rPr>
        <w:t>2 资金来源：财政资金</w:t>
      </w:r>
    </w:p>
    <w:p w14:paraId="2BBBA272">
      <w:pPr>
        <w:spacing w:line="578" w:lineRule="exact"/>
        <w:ind w:firstLine="640" w:firstLineChars="200"/>
        <w:rPr>
          <w:rFonts w:ascii="Times New Roman" w:hAnsi="Times New Roman" w:eastAsia="仿宋_GB2312" w:cs="Times New Roman"/>
          <w:color w:val="FF0000"/>
          <w:sz w:val="32"/>
          <w:szCs w:val="32"/>
          <w:highlight w:val="yellow"/>
          <w:lang w:val="zh-CN"/>
        </w:rPr>
      </w:pPr>
      <w:r>
        <w:rPr>
          <w:rFonts w:ascii="Times New Roman" w:hAnsi="Times New Roman" w:eastAsia="仿宋_GB2312" w:cs="Times New Roman"/>
          <w:sz w:val="32"/>
          <w:szCs w:val="32"/>
          <w:highlight w:val="none"/>
          <w:lang w:val="zh-CN"/>
        </w:rPr>
        <w:t>3 项目预算金额：</w:t>
      </w:r>
      <w:r>
        <w:rPr>
          <w:rFonts w:hint="eastAsia" w:ascii="Times New Roman" w:hAnsi="Times New Roman" w:eastAsia="仿宋_GB2312" w:cs="Times New Roman"/>
          <w:sz w:val="32"/>
          <w:szCs w:val="32"/>
          <w:highlight w:val="none"/>
          <w:u w:val="single"/>
          <w:lang w:val="en-US" w:eastAsia="zh-CN"/>
        </w:rPr>
        <w:t>26</w:t>
      </w:r>
      <w:r>
        <w:rPr>
          <w:rFonts w:hint="eastAsia" w:ascii="Times New Roman" w:hAnsi="Times New Roman" w:eastAsia="仿宋_GB2312" w:cs="Times New Roman"/>
          <w:sz w:val="32"/>
          <w:szCs w:val="32"/>
          <w:highlight w:val="none"/>
        </w:rPr>
        <w:t>万</w:t>
      </w:r>
      <w:r>
        <w:rPr>
          <w:rFonts w:ascii="Times New Roman" w:hAnsi="Times New Roman" w:eastAsia="仿宋_GB2312" w:cs="Times New Roman"/>
          <w:sz w:val="32"/>
          <w:szCs w:val="32"/>
          <w:highlight w:val="none"/>
        </w:rPr>
        <w:t>元</w:t>
      </w:r>
      <w:r>
        <w:rPr>
          <w:rFonts w:ascii="Times New Roman" w:hAnsi="Times New Roman" w:eastAsia="仿宋_GB2312" w:cs="Times New Roman"/>
          <w:sz w:val="32"/>
          <w:szCs w:val="32"/>
          <w:highlight w:val="none"/>
          <w:lang w:val="zh-CN"/>
        </w:rPr>
        <w:t>。</w:t>
      </w:r>
      <w:r>
        <w:rPr>
          <w:rFonts w:ascii="Times New Roman" w:hAnsi="Times New Roman" w:eastAsia="仿宋_GB2312" w:cs="Times New Roman"/>
          <w:sz w:val="32"/>
          <w:szCs w:val="32"/>
          <w:highlight w:val="none"/>
        </w:rPr>
        <w:t>大写：</w:t>
      </w:r>
      <w:r>
        <w:rPr>
          <w:rFonts w:hint="eastAsia" w:ascii="Times New Roman" w:hAnsi="Times New Roman" w:eastAsia="仿宋_GB2312" w:cs="Times New Roman"/>
          <w:sz w:val="32"/>
          <w:szCs w:val="32"/>
          <w:highlight w:val="none"/>
          <w:u w:val="single"/>
          <w:lang w:val="en-US" w:eastAsia="zh-CN"/>
        </w:rPr>
        <w:t>贰拾陆万元整</w:t>
      </w:r>
      <w:r>
        <w:rPr>
          <w:rFonts w:ascii="Times New Roman" w:hAnsi="Times New Roman" w:eastAsia="仿宋_GB2312" w:cs="Times New Roman"/>
          <w:sz w:val="32"/>
          <w:szCs w:val="32"/>
          <w:highlight w:val="none"/>
        </w:rPr>
        <w:t>。</w:t>
      </w:r>
    </w:p>
    <w:p w14:paraId="5853AD27">
      <w:pPr>
        <w:spacing w:line="578"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（超过预算金额的报价为无效报价）</w:t>
      </w:r>
    </w:p>
    <w:p w14:paraId="1D26A4C9">
      <w:pPr>
        <w:spacing w:line="578" w:lineRule="exact"/>
        <w:ind w:firstLine="640" w:firstLineChars="200"/>
        <w:rPr>
          <w:rFonts w:hint="eastAsia" w:ascii="楷体_GB2312" w:hAnsi="楷体_GB2312" w:eastAsia="楷体_GB2312" w:cs="楷体_GB2312"/>
          <w:kern w:val="44"/>
          <w:sz w:val="32"/>
          <w:szCs w:val="32"/>
        </w:rPr>
      </w:pPr>
      <w:r>
        <w:rPr>
          <w:rFonts w:hint="eastAsia" w:ascii="楷体_GB2312" w:hAnsi="楷体_GB2312" w:eastAsia="楷体_GB2312" w:cs="楷体_GB2312"/>
          <w:kern w:val="44"/>
          <w:sz w:val="32"/>
          <w:szCs w:val="32"/>
        </w:rPr>
        <w:t>（二）定义</w:t>
      </w:r>
    </w:p>
    <w:p w14:paraId="6E8C70E8">
      <w:pPr>
        <w:spacing w:line="578" w:lineRule="exact"/>
        <w:ind w:firstLine="640" w:firstLineChars="200"/>
        <w:rPr>
          <w:rFonts w:ascii="Times New Roman" w:hAnsi="Times New Roman" w:eastAsia="仿宋_GB2312" w:cs="Times New Roman"/>
          <w:kern w:val="44"/>
          <w:sz w:val="32"/>
          <w:szCs w:val="32"/>
        </w:rPr>
      </w:pPr>
      <w:r>
        <w:rPr>
          <w:rFonts w:ascii="Times New Roman" w:hAnsi="Times New Roman" w:eastAsia="仿宋_GB2312" w:cs="Times New Roman"/>
          <w:kern w:val="44"/>
          <w:sz w:val="32"/>
          <w:szCs w:val="32"/>
        </w:rPr>
        <w:t xml:space="preserve">1 </w:t>
      </w:r>
      <w:r>
        <w:rPr>
          <w:rFonts w:hint="eastAsia" w:ascii="仿宋_GB2312" w:hAnsi="仿宋_GB2312" w:eastAsia="仿宋_GB2312" w:cs="仿宋_GB2312"/>
          <w:kern w:val="44"/>
          <w:sz w:val="32"/>
          <w:szCs w:val="32"/>
        </w:rPr>
        <w:t>“供应商”指</w:t>
      </w:r>
      <w:r>
        <w:rPr>
          <w:rFonts w:ascii="Times New Roman" w:hAnsi="Times New Roman" w:eastAsia="仿宋_GB2312" w:cs="Times New Roman"/>
          <w:kern w:val="44"/>
          <w:sz w:val="32"/>
          <w:szCs w:val="32"/>
        </w:rPr>
        <w:t>向采购人递交响应文件的供应商。</w:t>
      </w:r>
    </w:p>
    <w:p w14:paraId="1CD475D6">
      <w:pPr>
        <w:spacing w:line="578" w:lineRule="exact"/>
        <w:ind w:firstLine="640" w:firstLineChars="200"/>
        <w:rPr>
          <w:rFonts w:ascii="Times New Roman" w:hAnsi="Times New Roman" w:eastAsia="仿宋_GB2312" w:cs="Times New Roman"/>
          <w:kern w:val="44"/>
          <w:sz w:val="32"/>
          <w:szCs w:val="32"/>
        </w:rPr>
      </w:pPr>
      <w:r>
        <w:rPr>
          <w:rFonts w:ascii="Times New Roman" w:hAnsi="Times New Roman" w:eastAsia="仿宋_GB2312" w:cs="Times New Roman"/>
          <w:kern w:val="44"/>
          <w:sz w:val="32"/>
          <w:szCs w:val="32"/>
        </w:rPr>
        <w:t xml:space="preserve">2 </w:t>
      </w:r>
      <w:r>
        <w:rPr>
          <w:rFonts w:hint="eastAsia" w:ascii="仿宋_GB2312" w:hAnsi="仿宋_GB2312" w:eastAsia="仿宋_GB2312" w:cs="仿宋_GB2312"/>
          <w:kern w:val="44"/>
          <w:sz w:val="32"/>
          <w:szCs w:val="32"/>
        </w:rPr>
        <w:t>“采购人”</w:t>
      </w:r>
      <w:r>
        <w:rPr>
          <w:rFonts w:ascii="Times New Roman" w:hAnsi="Times New Roman" w:eastAsia="仿宋_GB2312" w:cs="Times New Roman"/>
          <w:kern w:val="44"/>
          <w:sz w:val="32"/>
          <w:szCs w:val="32"/>
        </w:rPr>
        <w:t>指</w:t>
      </w:r>
      <w:r>
        <w:rPr>
          <w:rFonts w:ascii="Times New Roman" w:hAnsi="Times New Roman" w:eastAsia="仿宋_GB2312" w:cs="Times New Roman"/>
          <w:kern w:val="0"/>
          <w:sz w:val="32"/>
          <w:szCs w:val="32"/>
        </w:rPr>
        <w:t>达州市土溪口水库运行保护中心</w:t>
      </w:r>
      <w:r>
        <w:rPr>
          <w:rFonts w:ascii="Times New Roman" w:hAnsi="Times New Roman" w:eastAsia="仿宋_GB2312" w:cs="Times New Roman"/>
          <w:kern w:val="44"/>
          <w:sz w:val="32"/>
          <w:szCs w:val="32"/>
        </w:rPr>
        <w:t>。</w:t>
      </w:r>
    </w:p>
    <w:p w14:paraId="1DB94878">
      <w:pPr>
        <w:spacing w:line="578" w:lineRule="exact"/>
        <w:ind w:firstLine="640" w:firstLineChars="200"/>
        <w:rPr>
          <w:rFonts w:hint="eastAsia" w:ascii="楷体_GB2312" w:hAnsi="楷体_GB2312" w:eastAsia="楷体_GB2312" w:cs="楷体_GB2312"/>
          <w:kern w:val="44"/>
          <w:sz w:val="32"/>
          <w:szCs w:val="32"/>
        </w:rPr>
      </w:pPr>
      <w:r>
        <w:rPr>
          <w:rFonts w:hint="eastAsia" w:ascii="楷体_GB2312" w:hAnsi="楷体_GB2312" w:eastAsia="楷体_GB2312" w:cs="楷体_GB2312"/>
          <w:kern w:val="44"/>
          <w:sz w:val="32"/>
          <w:szCs w:val="32"/>
        </w:rPr>
        <w:t>（三）合格的供应商</w:t>
      </w:r>
    </w:p>
    <w:p w14:paraId="681DE022">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 xml:space="preserve"> </w:t>
      </w:r>
      <w:r>
        <w:rPr>
          <w:rFonts w:ascii="Times New Roman" w:hAnsi="Times New Roman" w:eastAsia="仿宋_GB2312" w:cs="Times New Roman"/>
          <w:sz w:val="32"/>
          <w:szCs w:val="32"/>
        </w:rPr>
        <w:t>符合《中华人民共和国政府采购法》第二十二条之规定。</w:t>
      </w:r>
    </w:p>
    <w:p w14:paraId="5D2C6F90">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 xml:space="preserve"> </w:t>
      </w:r>
      <w:r>
        <w:rPr>
          <w:rFonts w:ascii="Times New Roman" w:hAnsi="Times New Roman" w:eastAsia="仿宋_GB2312" w:cs="Times New Roman"/>
          <w:sz w:val="32"/>
          <w:szCs w:val="32"/>
        </w:rPr>
        <w:t>应具有独立承担民事责任的能力。</w:t>
      </w:r>
    </w:p>
    <w:p w14:paraId="0CC0C0C8">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 xml:space="preserve"> </w:t>
      </w:r>
      <w:r>
        <w:rPr>
          <w:rFonts w:ascii="Times New Roman" w:hAnsi="Times New Roman" w:eastAsia="仿宋_GB2312" w:cs="Times New Roman"/>
          <w:sz w:val="32"/>
          <w:szCs w:val="32"/>
        </w:rPr>
        <w:t>应</w:t>
      </w:r>
      <w:r>
        <w:rPr>
          <w:rFonts w:ascii="Times New Roman" w:hAnsi="Times New Roman" w:eastAsia="仿宋_GB2312" w:cs="Times New Roman"/>
          <w:sz w:val="32"/>
          <w:szCs w:val="32"/>
          <w:lang w:val="zh-CN"/>
        </w:rPr>
        <w:t>具有履行合同所必须的专业技术能力</w:t>
      </w:r>
      <w:r>
        <w:rPr>
          <w:rFonts w:ascii="Times New Roman" w:hAnsi="Times New Roman" w:eastAsia="仿宋_GB2312" w:cs="Times New Roman"/>
          <w:sz w:val="32"/>
          <w:szCs w:val="32"/>
        </w:rPr>
        <w:t>。</w:t>
      </w:r>
    </w:p>
    <w:p w14:paraId="59B0677C">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仿宋_GB2312" w:hAnsi="仿宋_GB2312" w:eastAsia="仿宋_GB2312" w:cs="仿宋_GB2312"/>
          <w:sz w:val="32"/>
          <w:szCs w:val="32"/>
        </w:rPr>
        <w:t xml:space="preserve"> </w:t>
      </w:r>
      <w:r>
        <w:rPr>
          <w:rFonts w:ascii="Times New Roman" w:hAnsi="Times New Roman" w:eastAsia="仿宋_GB2312" w:cs="Times New Roman"/>
          <w:sz w:val="32"/>
          <w:szCs w:val="32"/>
          <w:lang w:val="zh-CN"/>
        </w:rPr>
        <w:t>有依法缴纳税收和社会保障金的良好记录</w:t>
      </w:r>
      <w:r>
        <w:rPr>
          <w:rFonts w:ascii="Times New Roman" w:hAnsi="Times New Roman" w:eastAsia="仿宋_GB2312" w:cs="Times New Roman"/>
          <w:sz w:val="32"/>
          <w:szCs w:val="32"/>
        </w:rPr>
        <w:t>。</w:t>
      </w:r>
    </w:p>
    <w:p w14:paraId="5F7EEE0A">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仿宋_GB2312" w:hAnsi="仿宋_GB2312" w:eastAsia="仿宋_GB2312" w:cs="仿宋_GB2312"/>
          <w:sz w:val="32"/>
          <w:szCs w:val="32"/>
        </w:rPr>
        <w:t xml:space="preserve"> </w:t>
      </w:r>
      <w:r>
        <w:rPr>
          <w:rFonts w:ascii="Times New Roman" w:hAnsi="Times New Roman" w:eastAsia="仿宋_GB2312" w:cs="Times New Roman"/>
          <w:sz w:val="32"/>
          <w:szCs w:val="32"/>
          <w:lang w:val="zh-CN"/>
        </w:rPr>
        <w:t>参加政府采购活动前三年内，在经营活动中没有重大违法记录。</w:t>
      </w:r>
      <w:r>
        <w:rPr>
          <w:rFonts w:ascii="Times New Roman" w:hAnsi="Times New Roman" w:eastAsia="仿宋_GB2312" w:cs="Times New Roman"/>
          <w:sz w:val="32"/>
          <w:szCs w:val="32"/>
        </w:rPr>
        <w:t xml:space="preserve">  </w:t>
      </w:r>
    </w:p>
    <w:p w14:paraId="237EE85A">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仿宋_GB2312" w:hAnsi="仿宋_GB2312" w:eastAsia="仿宋_GB2312" w:cs="仿宋_GB2312"/>
          <w:sz w:val="32"/>
          <w:szCs w:val="32"/>
        </w:rPr>
        <w:t xml:space="preserve"> </w:t>
      </w:r>
      <w:r>
        <w:rPr>
          <w:rFonts w:ascii="Times New Roman" w:hAnsi="Times New Roman" w:eastAsia="仿宋_GB2312" w:cs="Times New Roman"/>
          <w:sz w:val="32"/>
          <w:szCs w:val="32"/>
        </w:rPr>
        <w:t>法律、行政法规规定的其他条件。</w:t>
      </w:r>
    </w:p>
    <w:p w14:paraId="56A47BB1">
      <w:pPr>
        <w:pStyle w:val="4"/>
        <w:spacing w:after="0"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仿宋_GB2312" w:hAnsi="仿宋_GB2312" w:eastAsia="仿宋_GB2312" w:cs="仿宋_GB2312"/>
          <w:sz w:val="32"/>
          <w:szCs w:val="32"/>
        </w:rPr>
        <w:t xml:space="preserve"> </w:t>
      </w:r>
      <w:r>
        <w:rPr>
          <w:rFonts w:ascii="Times New Roman" w:hAnsi="Times New Roman" w:eastAsia="仿宋_GB2312" w:cs="Times New Roman"/>
          <w:sz w:val="32"/>
          <w:szCs w:val="32"/>
        </w:rPr>
        <w:t>具有国家行政主管部门颁发的工程设计水利行业丙级及以上资质。</w:t>
      </w:r>
    </w:p>
    <w:p w14:paraId="7F2A1B93">
      <w:pPr>
        <w:pStyle w:val="4"/>
        <w:spacing w:after="0"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（四）本项目不接受联合体参加磋商</w:t>
      </w:r>
    </w:p>
    <w:p w14:paraId="0D70D449">
      <w:pPr>
        <w:snapToGrid w:val="0"/>
        <w:spacing w:line="578" w:lineRule="exact"/>
        <w:ind w:firstLine="640" w:firstLineChars="200"/>
        <w:rPr>
          <w:rFonts w:ascii="Times New Roman" w:hAnsi="Times New Roman" w:eastAsia="仿宋_GB2312" w:cs="Times New Roman"/>
          <w:kern w:val="44"/>
          <w:sz w:val="32"/>
          <w:szCs w:val="32"/>
        </w:rPr>
      </w:pPr>
      <w:r>
        <w:rPr>
          <w:rFonts w:hint="eastAsia" w:ascii="楷体_GB2312" w:hAnsi="楷体_GB2312" w:eastAsia="楷体_GB2312" w:cs="楷体_GB2312"/>
          <w:kern w:val="44"/>
          <w:sz w:val="32"/>
          <w:szCs w:val="32"/>
        </w:rPr>
        <w:t>（五）磋商费用</w:t>
      </w:r>
    </w:p>
    <w:p w14:paraId="3C8CADFD">
      <w:pPr>
        <w:spacing w:line="578" w:lineRule="exact"/>
        <w:ind w:firstLine="640" w:firstLineChars="200"/>
        <w:rPr>
          <w:rFonts w:ascii="Times New Roman" w:hAnsi="Times New Roman" w:eastAsia="仿宋_GB2312" w:cs="Times New Roman"/>
          <w:kern w:val="44"/>
          <w:sz w:val="32"/>
          <w:szCs w:val="32"/>
        </w:rPr>
      </w:pPr>
      <w:r>
        <w:rPr>
          <w:rFonts w:ascii="Times New Roman" w:hAnsi="Times New Roman" w:eastAsia="仿宋_GB2312" w:cs="Times New Roman"/>
          <w:kern w:val="44"/>
          <w:sz w:val="32"/>
          <w:szCs w:val="32"/>
        </w:rPr>
        <w:t>供应商应承担所有与准备和参加磋商有关的费用。不论磋商的结果如何，采购人均无义务和责任承担这些费用。</w:t>
      </w:r>
    </w:p>
    <w:p w14:paraId="7BFBA8F6">
      <w:pPr>
        <w:pStyle w:val="4"/>
        <w:spacing w:after="0" w:line="578" w:lineRule="exact"/>
        <w:ind w:firstLine="640" w:firstLineChars="200"/>
        <w:rPr>
          <w:rFonts w:hint="eastAsia" w:ascii="仿宋_GB2312" w:hAnsi="仿宋_GB2312" w:eastAsia="仿宋_GB2312" w:cs="仿宋_GB2312"/>
          <w:kern w:val="44"/>
          <w:sz w:val="32"/>
          <w:szCs w:val="32"/>
        </w:rPr>
      </w:pPr>
    </w:p>
    <w:p w14:paraId="008DCE59">
      <w:pPr>
        <w:pStyle w:val="4"/>
        <w:spacing w:after="0" w:line="578" w:lineRule="exact"/>
        <w:jc w:val="center"/>
        <w:rPr>
          <w:rFonts w:hint="eastAsia" w:ascii="仿宋_GB2312" w:hAnsi="仿宋_GB2312" w:eastAsia="仿宋_GB2312" w:cs="仿宋_GB2312"/>
          <w:kern w:val="44"/>
          <w:sz w:val="32"/>
          <w:szCs w:val="32"/>
        </w:rPr>
      </w:pPr>
    </w:p>
    <w:p w14:paraId="5B31CBE0">
      <w:pPr>
        <w:spacing w:line="578" w:lineRule="exact"/>
        <w:jc w:val="center"/>
        <w:rPr>
          <w:rFonts w:hint="eastAsia" w:ascii="黑体" w:hAnsi="黑体" w:eastAsia="黑体" w:cs="黑体"/>
          <w:kern w:val="44"/>
          <w:sz w:val="32"/>
          <w:szCs w:val="32"/>
        </w:rPr>
      </w:pPr>
      <w:r>
        <w:rPr>
          <w:rFonts w:hint="eastAsia" w:ascii="黑体" w:hAnsi="黑体" w:eastAsia="黑体" w:cs="黑体"/>
          <w:kern w:val="44"/>
          <w:sz w:val="32"/>
          <w:szCs w:val="32"/>
        </w:rPr>
        <w:t>二   磋商文件</w:t>
      </w:r>
      <w:bookmarkEnd w:id="20"/>
      <w:bookmarkEnd w:id="21"/>
      <w:bookmarkEnd w:id="22"/>
    </w:p>
    <w:p w14:paraId="20673C46">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（六）磋商文件构成</w:t>
      </w:r>
    </w:p>
    <w:p w14:paraId="33801DF3">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要求提供服务的内容及报价须知、合同条件等在《磋商文件》中均有说明。</w:t>
      </w:r>
    </w:p>
    <w:p w14:paraId="5509C8EB">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《磋商文件》共六部分，内容如下：</w:t>
      </w:r>
    </w:p>
    <w:p w14:paraId="736DD0CF">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第一部分  竞争性磋商公告</w:t>
      </w:r>
    </w:p>
    <w:p w14:paraId="56F0958D">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第二部分  供应商须知</w:t>
      </w:r>
    </w:p>
    <w:p w14:paraId="66A621E7">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第三部分  技术需求书</w:t>
      </w:r>
    </w:p>
    <w:p w14:paraId="0E6F9966">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第四部分  评审标准</w:t>
      </w:r>
    </w:p>
    <w:p w14:paraId="6A5CA8E8">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第五部分  响应文件格式</w:t>
      </w:r>
    </w:p>
    <w:p w14:paraId="7FC8B7BA">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第六部分  合同文本</w:t>
      </w:r>
    </w:p>
    <w:p w14:paraId="523D468B">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供应商应认真阅读《磋商文件》所有的事项、格式、条款和服务需求等。如供应商没有按照《磋商文件》要求提交全部资料，或者响应文件没有对《磋商文件》在各方面做出实质性响应是供应商的风险，并可能导致其响应被拒绝。</w:t>
      </w:r>
    </w:p>
    <w:p w14:paraId="13C81299">
      <w:pPr>
        <w:pStyle w:val="4"/>
        <w:spacing w:after="0" w:line="578" w:lineRule="exact"/>
        <w:jc w:val="center"/>
        <w:rPr>
          <w:rFonts w:hint="eastAsia" w:ascii="仿宋_GB2312" w:hAnsi="仿宋_GB2312" w:eastAsia="仿宋_GB2312" w:cs="仿宋_GB2312"/>
          <w:kern w:val="44"/>
          <w:sz w:val="32"/>
          <w:szCs w:val="32"/>
        </w:rPr>
      </w:pPr>
    </w:p>
    <w:p w14:paraId="7D7E31B9">
      <w:pPr>
        <w:spacing w:line="578" w:lineRule="exact"/>
        <w:jc w:val="center"/>
        <w:rPr>
          <w:rFonts w:hint="eastAsia" w:ascii="黑体" w:hAnsi="黑体" w:eastAsia="黑体" w:cs="黑体"/>
          <w:kern w:val="44"/>
          <w:sz w:val="32"/>
          <w:szCs w:val="32"/>
        </w:rPr>
      </w:pPr>
      <w:bookmarkStart w:id="23" w:name="_Toc516367020"/>
      <w:bookmarkStart w:id="24" w:name="_Toc449524477"/>
      <w:bookmarkStart w:id="25" w:name="_Toc1333"/>
      <w:bookmarkStart w:id="26" w:name="_Toc520356150"/>
      <w:r>
        <w:rPr>
          <w:rFonts w:hint="eastAsia" w:ascii="黑体" w:hAnsi="黑体" w:eastAsia="黑体" w:cs="黑体"/>
          <w:kern w:val="44"/>
          <w:sz w:val="32"/>
          <w:szCs w:val="32"/>
        </w:rPr>
        <w:t>三   响应文件</w:t>
      </w:r>
      <w:bookmarkEnd w:id="23"/>
      <w:r>
        <w:rPr>
          <w:rFonts w:hint="eastAsia" w:ascii="黑体" w:hAnsi="黑体" w:eastAsia="黑体" w:cs="黑体"/>
          <w:kern w:val="44"/>
          <w:sz w:val="32"/>
          <w:szCs w:val="32"/>
        </w:rPr>
        <w:t>的编制</w:t>
      </w:r>
      <w:bookmarkEnd w:id="24"/>
      <w:bookmarkEnd w:id="25"/>
      <w:bookmarkEnd w:id="26"/>
    </w:p>
    <w:p w14:paraId="6D46849C">
      <w:pPr>
        <w:spacing w:line="578" w:lineRule="exact"/>
        <w:jc w:val="center"/>
        <w:rPr>
          <w:rFonts w:hint="eastAsia" w:ascii="仿宋_GB2312" w:hAnsi="仿宋_GB2312" w:eastAsia="仿宋_GB2312" w:cs="仿宋_GB2312"/>
          <w:kern w:val="44"/>
          <w:sz w:val="32"/>
          <w:szCs w:val="32"/>
        </w:rPr>
      </w:pPr>
      <w:bookmarkStart w:id="27" w:name="_Toc516367021"/>
      <w:bookmarkStart w:id="28" w:name="_Toc520356151"/>
      <w:bookmarkStart w:id="29" w:name="_Toc449524478"/>
      <w:bookmarkStart w:id="30" w:name="_Toc9254"/>
    </w:p>
    <w:p w14:paraId="455A3EFF">
      <w:pPr>
        <w:spacing w:line="578" w:lineRule="exact"/>
        <w:ind w:firstLine="640" w:firstLineChars="200"/>
        <w:rPr>
          <w:rFonts w:hint="eastAsia" w:ascii="楷体_GB2312" w:hAnsi="楷体_GB2312" w:eastAsia="楷体_GB2312" w:cs="楷体_GB2312"/>
          <w:kern w:val="44"/>
          <w:sz w:val="32"/>
          <w:szCs w:val="32"/>
        </w:rPr>
      </w:pPr>
      <w:r>
        <w:rPr>
          <w:rFonts w:hint="eastAsia" w:ascii="楷体_GB2312" w:hAnsi="楷体_GB2312" w:eastAsia="楷体_GB2312" w:cs="楷体_GB2312"/>
          <w:kern w:val="44"/>
          <w:sz w:val="32"/>
          <w:szCs w:val="32"/>
        </w:rPr>
        <w:t>（七）报价范围及响应文件中计量单位的使用</w:t>
      </w:r>
      <w:bookmarkEnd w:id="27"/>
      <w:bookmarkEnd w:id="28"/>
      <w:bookmarkEnd w:id="29"/>
      <w:bookmarkEnd w:id="30"/>
    </w:p>
    <w:p w14:paraId="322F8CE3">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供应商应对《磋商文件》中所列的所有内容进行报价，不得只对部分内容进行报价。</w:t>
      </w:r>
    </w:p>
    <w:p w14:paraId="653CA88B">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《响应文件》中所使用的计量单位，除《磋商文件》中有特殊要求外，应采用中华人民共和国法定计量单位。</w:t>
      </w:r>
    </w:p>
    <w:p w14:paraId="631AD2A8">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响应文件构成:供应商应完整地按《磋商文件》第五部分“响应文件格式”提供的响应文件格式填写《响应文件》。</w:t>
      </w:r>
    </w:p>
    <w:p w14:paraId="17106208">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报价:所有报价均以人民币报价。供应商的报价应遵守《中华人民共和国价格法》。只能有一个报价。</w:t>
      </w:r>
    </w:p>
    <w:p w14:paraId="6A8D8F11">
      <w:pPr>
        <w:spacing w:line="578" w:lineRule="exact"/>
        <w:ind w:firstLine="640" w:firstLineChars="200"/>
        <w:rPr>
          <w:rFonts w:hint="eastAsia" w:ascii="楷体_GB2312" w:hAnsi="楷体_GB2312" w:eastAsia="楷体_GB2312" w:cs="楷体_GB2312"/>
          <w:b/>
          <w:kern w:val="44"/>
          <w:sz w:val="32"/>
          <w:szCs w:val="32"/>
        </w:rPr>
      </w:pPr>
      <w:r>
        <w:rPr>
          <w:rFonts w:hint="eastAsia" w:ascii="楷体_GB2312" w:hAnsi="楷体_GB2312" w:eastAsia="楷体_GB2312" w:cs="楷体_GB2312"/>
          <w:kern w:val="44"/>
          <w:sz w:val="32"/>
          <w:szCs w:val="32"/>
        </w:rPr>
        <w:t>（八）磋商保证金</w:t>
      </w:r>
    </w:p>
    <w:p w14:paraId="53B667ED">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磋商保证金：本项目需要供应商提交</w:t>
      </w:r>
      <w:r>
        <w:rPr>
          <w:rFonts w:ascii="Times New Roman" w:hAnsi="Times New Roman" w:eastAsia="仿宋_GB2312" w:cs="Times New Roman"/>
          <w:kern w:val="44"/>
          <w:sz w:val="32"/>
          <w:szCs w:val="32"/>
        </w:rPr>
        <w:t>0元（大写：0万</w:t>
      </w:r>
      <w:r>
        <w:rPr>
          <w:rFonts w:hint="eastAsia" w:ascii="仿宋_GB2312" w:hAnsi="仿宋_GB2312" w:eastAsia="仿宋_GB2312" w:cs="仿宋_GB2312"/>
          <w:kern w:val="44"/>
          <w:sz w:val="32"/>
          <w:szCs w:val="32"/>
        </w:rPr>
        <w:t>元）的磋商保证金；</w:t>
      </w:r>
    </w:p>
    <w:p w14:paraId="17BDC664">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保证金形式：</w:t>
      </w:r>
    </w:p>
    <w:p w14:paraId="6670B541">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供应商应在响应文件截止前向采购代理机构提交磋商保证金，采购代理机构将同时出具相应的磋商保证金收据。对于未能按要求提交足额磋商保证金的响应文件，将被拒绝。</w:t>
      </w:r>
    </w:p>
    <w:p w14:paraId="0CE67108">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采购代理机构相关信息如下：</w:t>
      </w:r>
    </w:p>
    <w:p w14:paraId="7F8B0164">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账户名称：/</w:t>
      </w:r>
    </w:p>
    <w:p w14:paraId="12C15018">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开户行：/</w:t>
      </w:r>
    </w:p>
    <w:p w14:paraId="1D2A5873">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账号：/</w:t>
      </w:r>
    </w:p>
    <w:p w14:paraId="7C90024C">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联系人：/</w:t>
      </w:r>
    </w:p>
    <w:p w14:paraId="3BB52B99">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地址：/</w:t>
      </w:r>
    </w:p>
    <w:p w14:paraId="30566E84">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联系电话：/</w:t>
      </w:r>
    </w:p>
    <w:p w14:paraId="7EDA80EF">
      <w:pPr>
        <w:spacing w:line="578" w:lineRule="exact"/>
        <w:ind w:firstLine="640" w:firstLineChars="200"/>
        <w:rPr>
          <w:rFonts w:hint="eastAsia" w:ascii="楷体_GB2312" w:hAnsi="楷体_GB2312" w:eastAsia="楷体_GB2312" w:cs="楷体_GB2312"/>
          <w:kern w:val="44"/>
          <w:sz w:val="32"/>
          <w:szCs w:val="32"/>
        </w:rPr>
      </w:pPr>
      <w:r>
        <w:rPr>
          <w:rFonts w:hint="eastAsia" w:ascii="楷体_GB2312" w:hAnsi="楷体_GB2312" w:eastAsia="楷体_GB2312" w:cs="楷体_GB2312"/>
          <w:kern w:val="44"/>
          <w:sz w:val="32"/>
          <w:szCs w:val="32"/>
        </w:rPr>
        <w:t>（九）响应文件有效期</w:t>
      </w:r>
    </w:p>
    <w:p w14:paraId="1F915FDD">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响应文件应在规定的磋商日后的</w:t>
      </w:r>
      <w:r>
        <w:rPr>
          <w:rFonts w:hint="eastAsia" w:ascii="仿宋_GB2312" w:hAnsi="仿宋_GB2312" w:eastAsia="仿宋_GB2312" w:cs="仿宋_GB2312"/>
          <w:kern w:val="44"/>
          <w:sz w:val="32"/>
          <w:szCs w:val="32"/>
          <w:u w:val="single"/>
        </w:rPr>
        <w:t xml:space="preserve"> </w:t>
      </w:r>
      <w:r>
        <w:rPr>
          <w:rFonts w:ascii="Times New Roman" w:hAnsi="Times New Roman" w:eastAsia="仿宋_GB2312" w:cs="Times New Roman"/>
          <w:kern w:val="44"/>
          <w:sz w:val="32"/>
          <w:szCs w:val="32"/>
          <w:u w:val="single"/>
        </w:rPr>
        <w:t>90</w:t>
      </w:r>
      <w:r>
        <w:rPr>
          <w:rFonts w:hint="eastAsia" w:ascii="Times New Roman" w:hAnsi="Times New Roman" w:eastAsia="仿宋_GB2312" w:cs="Times New Roman"/>
          <w:kern w:val="44"/>
          <w:sz w:val="32"/>
          <w:szCs w:val="32"/>
          <w:u w:val="single"/>
        </w:rPr>
        <w:t xml:space="preserve"> </w:t>
      </w:r>
      <w:r>
        <w:rPr>
          <w:rFonts w:hint="eastAsia" w:ascii="仿宋_GB2312" w:hAnsi="仿宋_GB2312" w:eastAsia="仿宋_GB2312" w:cs="仿宋_GB2312"/>
          <w:kern w:val="44"/>
          <w:sz w:val="32"/>
          <w:szCs w:val="32"/>
        </w:rPr>
        <w:t>天内保持有效，响应文件有效期不满足要求的《响应文件》将做无效处理。</w:t>
      </w:r>
    </w:p>
    <w:p w14:paraId="271771AF">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采购人、采购代理机构可根据实际情况，在原响应文件有效期截止之前，要求供应商延长响应文件的有效期。接受该要求的供应商将不会被要求和允许修正其报价。上述要求和答复将以书面形式作出。</w:t>
      </w:r>
    </w:p>
    <w:p w14:paraId="49711C97">
      <w:pPr>
        <w:spacing w:line="578" w:lineRule="exact"/>
        <w:ind w:firstLine="640" w:firstLineChars="200"/>
        <w:rPr>
          <w:rFonts w:hint="eastAsia" w:ascii="楷体_GB2312" w:hAnsi="楷体_GB2312" w:eastAsia="楷体_GB2312" w:cs="楷体_GB2312"/>
          <w:kern w:val="44"/>
          <w:sz w:val="32"/>
          <w:szCs w:val="32"/>
        </w:rPr>
      </w:pPr>
      <w:bookmarkStart w:id="31" w:name="_Toc520356158"/>
      <w:bookmarkStart w:id="32" w:name="_Toc7154"/>
      <w:bookmarkStart w:id="33" w:name="_Toc449524481"/>
      <w:r>
        <w:rPr>
          <w:rFonts w:hint="eastAsia" w:ascii="楷体_GB2312" w:hAnsi="楷体_GB2312" w:eastAsia="楷体_GB2312" w:cs="楷体_GB2312"/>
          <w:kern w:val="44"/>
          <w:sz w:val="32"/>
          <w:szCs w:val="32"/>
        </w:rPr>
        <w:t>（十）响应文件的签署</w:t>
      </w:r>
      <w:bookmarkEnd w:id="31"/>
      <w:r>
        <w:rPr>
          <w:rFonts w:hint="eastAsia" w:ascii="楷体_GB2312" w:hAnsi="楷体_GB2312" w:eastAsia="楷体_GB2312" w:cs="楷体_GB2312"/>
          <w:kern w:val="44"/>
          <w:sz w:val="32"/>
          <w:szCs w:val="32"/>
        </w:rPr>
        <w:t>及规定</w:t>
      </w:r>
      <w:bookmarkEnd w:id="32"/>
      <w:bookmarkEnd w:id="33"/>
    </w:p>
    <w:p w14:paraId="1362BAC7">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供应商应准备《响应文件》正本</w:t>
      </w:r>
      <w:r>
        <w:rPr>
          <w:rFonts w:ascii="Times New Roman" w:hAnsi="Times New Roman" w:eastAsia="仿宋_GB2312" w:cs="Times New Roman"/>
          <w:kern w:val="44"/>
          <w:sz w:val="32"/>
          <w:szCs w:val="32"/>
          <w:u w:val="single"/>
        </w:rPr>
        <w:t xml:space="preserve"> 1 </w:t>
      </w:r>
      <w:r>
        <w:rPr>
          <w:rFonts w:ascii="Times New Roman" w:hAnsi="Times New Roman" w:eastAsia="仿宋_GB2312" w:cs="Times New Roman"/>
          <w:kern w:val="44"/>
          <w:sz w:val="32"/>
          <w:szCs w:val="32"/>
        </w:rPr>
        <w:t>份和副本</w:t>
      </w:r>
      <w:r>
        <w:rPr>
          <w:rFonts w:ascii="Times New Roman" w:hAnsi="Times New Roman" w:eastAsia="仿宋_GB2312" w:cs="Times New Roman"/>
          <w:kern w:val="44"/>
          <w:sz w:val="32"/>
          <w:szCs w:val="32"/>
          <w:u w:val="single"/>
        </w:rPr>
        <w:t xml:space="preserve"> 2 </w:t>
      </w:r>
      <w:r>
        <w:rPr>
          <w:rFonts w:ascii="Times New Roman" w:hAnsi="Times New Roman" w:eastAsia="仿宋_GB2312" w:cs="Times New Roman"/>
          <w:kern w:val="44"/>
          <w:sz w:val="32"/>
          <w:szCs w:val="32"/>
        </w:rPr>
        <w:t>份（A4</w:t>
      </w:r>
      <w:r>
        <w:rPr>
          <w:rFonts w:hint="eastAsia" w:ascii="仿宋_GB2312" w:hAnsi="仿宋_GB2312" w:eastAsia="仿宋_GB2312" w:cs="仿宋_GB2312"/>
          <w:kern w:val="44"/>
          <w:sz w:val="32"/>
          <w:szCs w:val="32"/>
        </w:rPr>
        <w:t>幅面），每份《响应文件》须清楚地标明“正本”或“副本”。若正本和副本不符，以正本为准。</w:t>
      </w:r>
    </w:p>
    <w:p w14:paraId="4DA429AD">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响应文件》的正本须采用打印或用不褪色墨水书写，并编排目录及页码，《响应文件》须由供应商的法定代表人本人或经其正式授权的代表在响应文件封面处签字并加盖单位印章。授权代表须持有书面的“法定代表人授权书”（格式附后），并将其附在《响应文件》中。《响应文件》的副本可采用正本的复印件。</w:t>
      </w:r>
    </w:p>
    <w:p w14:paraId="2DDFB355">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任何行间插字、涂改和增删，必须由法定代表人本人或授权代表本人签字或签章后才有效。</w:t>
      </w:r>
    </w:p>
    <w:p w14:paraId="79EF836A">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《响应文件》因字迹潦草或表达不清所引起的后果由供应商负责。</w:t>
      </w:r>
    </w:p>
    <w:p w14:paraId="74917AE8">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本《磋商文件》中所要求的公章是指行政公章，加盖合同专用章、报价专用章等非行政公章的《响应文件》无效。</w:t>
      </w:r>
    </w:p>
    <w:p w14:paraId="0C250ACC">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每册采用左侧胶装方式装订，装订应牢固、不易拆散和换页，不得采用活页装订。</w:t>
      </w:r>
    </w:p>
    <w:p w14:paraId="041BF8F9">
      <w:pPr>
        <w:pStyle w:val="4"/>
        <w:spacing w:after="0" w:line="578" w:lineRule="exact"/>
        <w:jc w:val="center"/>
        <w:rPr>
          <w:rFonts w:hint="eastAsia" w:ascii="仿宋_GB2312" w:hAnsi="仿宋_GB2312" w:eastAsia="仿宋_GB2312" w:cs="仿宋_GB2312"/>
          <w:kern w:val="44"/>
          <w:sz w:val="32"/>
          <w:szCs w:val="32"/>
        </w:rPr>
      </w:pPr>
    </w:p>
    <w:p w14:paraId="0C16EB99">
      <w:pPr>
        <w:spacing w:line="578" w:lineRule="exact"/>
        <w:jc w:val="center"/>
        <w:rPr>
          <w:rFonts w:hint="eastAsia" w:ascii="黑体" w:hAnsi="黑体" w:eastAsia="黑体" w:cs="黑体"/>
          <w:kern w:val="44"/>
          <w:sz w:val="32"/>
          <w:szCs w:val="32"/>
        </w:rPr>
      </w:pPr>
      <w:bookmarkStart w:id="34" w:name="_Toc449524482"/>
      <w:bookmarkStart w:id="35" w:name="_Toc22687"/>
      <w:bookmarkStart w:id="36" w:name="_Toc520356159"/>
    </w:p>
    <w:p w14:paraId="0832E0EA">
      <w:pPr>
        <w:spacing w:line="578" w:lineRule="exact"/>
        <w:jc w:val="center"/>
        <w:rPr>
          <w:rFonts w:hint="eastAsia" w:ascii="黑体" w:hAnsi="黑体" w:eastAsia="黑体" w:cs="黑体"/>
          <w:kern w:val="44"/>
          <w:sz w:val="32"/>
          <w:szCs w:val="32"/>
        </w:rPr>
      </w:pPr>
    </w:p>
    <w:p w14:paraId="402B1929">
      <w:pPr>
        <w:spacing w:line="578" w:lineRule="exact"/>
        <w:jc w:val="center"/>
        <w:rPr>
          <w:rFonts w:hint="eastAsia" w:ascii="黑体" w:hAnsi="黑体" w:eastAsia="黑体" w:cs="黑体"/>
          <w:kern w:val="44"/>
          <w:sz w:val="32"/>
          <w:szCs w:val="32"/>
        </w:rPr>
      </w:pPr>
      <w:r>
        <w:rPr>
          <w:rFonts w:hint="eastAsia" w:ascii="黑体" w:hAnsi="黑体" w:eastAsia="黑体" w:cs="黑体"/>
          <w:kern w:val="44"/>
          <w:sz w:val="32"/>
          <w:szCs w:val="32"/>
        </w:rPr>
        <w:t>四   响应文件的递交</w:t>
      </w:r>
      <w:bookmarkEnd w:id="34"/>
      <w:bookmarkEnd w:id="35"/>
      <w:bookmarkEnd w:id="36"/>
    </w:p>
    <w:p w14:paraId="50711648">
      <w:pPr>
        <w:spacing w:line="578" w:lineRule="exact"/>
        <w:jc w:val="center"/>
        <w:rPr>
          <w:rFonts w:hint="eastAsia" w:ascii="仿宋_GB2312" w:hAnsi="仿宋_GB2312" w:eastAsia="仿宋_GB2312" w:cs="仿宋_GB2312"/>
          <w:kern w:val="44"/>
          <w:sz w:val="32"/>
          <w:szCs w:val="32"/>
        </w:rPr>
      </w:pPr>
      <w:bookmarkStart w:id="37" w:name="_Toc21099"/>
      <w:bookmarkStart w:id="38" w:name="_Toc449524483"/>
      <w:bookmarkStart w:id="39" w:name="_Toc520356160"/>
    </w:p>
    <w:p w14:paraId="1D70A093">
      <w:pPr>
        <w:spacing w:line="578" w:lineRule="exact"/>
        <w:ind w:firstLine="640" w:firstLineChars="200"/>
        <w:rPr>
          <w:rFonts w:hint="eastAsia" w:ascii="楷体_GB2312" w:hAnsi="楷体_GB2312" w:eastAsia="楷体_GB2312" w:cs="楷体_GB2312"/>
          <w:kern w:val="44"/>
          <w:sz w:val="32"/>
          <w:szCs w:val="32"/>
        </w:rPr>
      </w:pPr>
      <w:r>
        <w:rPr>
          <w:rFonts w:hint="eastAsia" w:ascii="楷体_GB2312" w:hAnsi="楷体_GB2312" w:eastAsia="楷体_GB2312" w:cs="楷体_GB2312"/>
          <w:kern w:val="44"/>
          <w:sz w:val="32"/>
          <w:szCs w:val="32"/>
        </w:rPr>
        <w:t>（十一）响应文件的密封和标记</w:t>
      </w:r>
      <w:bookmarkEnd w:id="37"/>
      <w:bookmarkEnd w:id="38"/>
      <w:bookmarkEnd w:id="39"/>
    </w:p>
    <w:p w14:paraId="04CCE7C5">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送达《响应文件》时，供应商应将《响应文件》密封。《响应文件》正本和副本密封装在单独的信封中，且在封面标明“正本”“副本”字样。</w:t>
      </w:r>
    </w:p>
    <w:p w14:paraId="43E4252B">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所有信封上均应：</w:t>
      </w:r>
    </w:p>
    <w:p w14:paraId="2272A9BB">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w:t>
      </w:r>
      <w:r>
        <w:rPr>
          <w:rFonts w:ascii="Times New Roman" w:hAnsi="Times New Roman" w:eastAsia="仿宋_GB2312" w:cs="Times New Roman"/>
          <w:kern w:val="44"/>
          <w:sz w:val="32"/>
          <w:szCs w:val="32"/>
        </w:rPr>
        <w:t>1</w:t>
      </w:r>
      <w:r>
        <w:rPr>
          <w:rFonts w:hint="eastAsia" w:ascii="仿宋_GB2312" w:hAnsi="仿宋_GB2312" w:eastAsia="仿宋_GB2312" w:cs="仿宋_GB2312"/>
          <w:kern w:val="44"/>
          <w:sz w:val="32"/>
          <w:szCs w:val="32"/>
        </w:rPr>
        <w:t>）标明项目名称、采购编号的字样。</w:t>
      </w:r>
    </w:p>
    <w:p w14:paraId="23E62CDF">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w:t>
      </w:r>
      <w:r>
        <w:rPr>
          <w:rFonts w:ascii="Times New Roman" w:hAnsi="Times New Roman" w:eastAsia="仿宋_GB2312" w:cs="Times New Roman"/>
          <w:kern w:val="44"/>
          <w:sz w:val="32"/>
          <w:szCs w:val="32"/>
        </w:rPr>
        <w:t>2</w:t>
      </w:r>
      <w:r>
        <w:rPr>
          <w:rFonts w:hint="eastAsia" w:ascii="仿宋_GB2312" w:hAnsi="仿宋_GB2312" w:eastAsia="仿宋_GB2312" w:cs="仿宋_GB2312"/>
          <w:kern w:val="44"/>
          <w:sz w:val="32"/>
          <w:szCs w:val="32"/>
        </w:rPr>
        <w:t>）在信封的封装处加盖供应商单位公章并由法人或授权代表签字。</w:t>
      </w:r>
    </w:p>
    <w:p w14:paraId="50543ADB">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w:t>
      </w:r>
      <w:r>
        <w:rPr>
          <w:rFonts w:ascii="Times New Roman" w:hAnsi="Times New Roman" w:eastAsia="仿宋_GB2312" w:cs="Times New Roman"/>
          <w:kern w:val="44"/>
          <w:sz w:val="32"/>
          <w:szCs w:val="32"/>
        </w:rPr>
        <w:t>3</w:t>
      </w:r>
      <w:r>
        <w:rPr>
          <w:rFonts w:hint="eastAsia" w:ascii="仿宋_GB2312" w:hAnsi="仿宋_GB2312" w:eastAsia="仿宋_GB2312" w:cs="仿宋_GB2312"/>
          <w:kern w:val="44"/>
          <w:sz w:val="32"/>
          <w:szCs w:val="32"/>
        </w:rPr>
        <w:t>）信封上还应写明供应商名称和地址，以便若其响应文件被宣布为“迟到”响应文件时，能原封退回。</w:t>
      </w:r>
    </w:p>
    <w:p w14:paraId="4A62C737">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如果供应商未按上述要求密封及加写标记，采购人或采购代理机构对《响应文件》的误投或过早启封概不负责。</w:t>
      </w:r>
    </w:p>
    <w:p w14:paraId="4A8152C9">
      <w:pPr>
        <w:spacing w:line="578" w:lineRule="exact"/>
        <w:ind w:firstLine="640" w:firstLineChars="200"/>
        <w:rPr>
          <w:rFonts w:hint="eastAsia" w:ascii="仿宋_GB2312" w:hAnsi="仿宋_GB2312" w:eastAsia="仿宋_GB2312" w:cs="仿宋_GB2312"/>
          <w:kern w:val="44"/>
          <w:sz w:val="32"/>
          <w:szCs w:val="32"/>
        </w:rPr>
      </w:pPr>
      <w:bookmarkStart w:id="40" w:name="_Toc520356161"/>
      <w:r>
        <w:rPr>
          <w:rFonts w:hint="eastAsia" w:ascii="仿宋_GB2312" w:hAnsi="仿宋_GB2312" w:eastAsia="仿宋_GB2312" w:cs="仿宋_GB2312"/>
          <w:kern w:val="44"/>
          <w:sz w:val="32"/>
          <w:szCs w:val="32"/>
        </w:rPr>
        <w:t>响应文件送达截止</w:t>
      </w:r>
      <w:bookmarkEnd w:id="40"/>
      <w:r>
        <w:rPr>
          <w:rFonts w:hint="eastAsia" w:ascii="仿宋_GB2312" w:hAnsi="仿宋_GB2312" w:eastAsia="仿宋_GB2312" w:cs="仿宋_GB2312"/>
          <w:kern w:val="44"/>
          <w:sz w:val="32"/>
          <w:szCs w:val="32"/>
        </w:rPr>
        <w:t>期：</w:t>
      </w:r>
    </w:p>
    <w:p w14:paraId="5E51BFA3">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w:t>
      </w:r>
      <w:r>
        <w:rPr>
          <w:rFonts w:ascii="Times New Roman" w:hAnsi="Times New Roman" w:eastAsia="仿宋_GB2312" w:cs="Times New Roman"/>
          <w:kern w:val="44"/>
          <w:sz w:val="32"/>
          <w:szCs w:val="32"/>
        </w:rPr>
        <w:t>1</w:t>
      </w:r>
      <w:r>
        <w:rPr>
          <w:rFonts w:hint="eastAsia" w:ascii="仿宋_GB2312" w:hAnsi="仿宋_GB2312" w:eastAsia="仿宋_GB2312" w:cs="仿宋_GB2312"/>
          <w:kern w:val="44"/>
          <w:sz w:val="32"/>
          <w:szCs w:val="32"/>
        </w:rPr>
        <w:t>）供应商应在磋商文件中规定的《响应文件》送达截止日期和时间内，将《响应文件》递交到指定地点。</w:t>
      </w:r>
    </w:p>
    <w:p w14:paraId="0131A929">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w:t>
      </w:r>
      <w:r>
        <w:rPr>
          <w:rFonts w:ascii="Times New Roman" w:hAnsi="Times New Roman" w:eastAsia="仿宋_GB2312" w:cs="Times New Roman"/>
          <w:kern w:val="44"/>
          <w:sz w:val="32"/>
          <w:szCs w:val="32"/>
        </w:rPr>
        <w:t>2</w:t>
      </w:r>
      <w:r>
        <w:rPr>
          <w:rFonts w:hint="eastAsia" w:ascii="仿宋_GB2312" w:hAnsi="仿宋_GB2312" w:eastAsia="仿宋_GB2312" w:cs="仿宋_GB2312"/>
          <w:kern w:val="44"/>
          <w:sz w:val="32"/>
          <w:szCs w:val="32"/>
        </w:rPr>
        <w:t>）采购人、采购代理机构有权按本须知的规定，通过修改《磋商文件》延长响应文件送达截止日期和时间。在此情况下，采购人、采购代理机构和供应商受截止日期和时间制约的所有权利和义务均应延长至新的截止日期和时间。</w:t>
      </w:r>
    </w:p>
    <w:p w14:paraId="69332E4F">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w:t>
      </w:r>
      <w:r>
        <w:rPr>
          <w:rFonts w:ascii="Times New Roman" w:hAnsi="Times New Roman" w:eastAsia="仿宋_GB2312" w:cs="Times New Roman"/>
          <w:kern w:val="44"/>
          <w:sz w:val="32"/>
          <w:szCs w:val="32"/>
        </w:rPr>
        <w:t>3</w:t>
      </w:r>
      <w:r>
        <w:rPr>
          <w:rFonts w:hint="eastAsia" w:ascii="仿宋_GB2312" w:hAnsi="仿宋_GB2312" w:eastAsia="仿宋_GB2312" w:cs="仿宋_GB2312"/>
          <w:kern w:val="44"/>
          <w:sz w:val="32"/>
          <w:szCs w:val="32"/>
        </w:rPr>
        <w:t>）采购人、采购代理机构将拒绝并原封退回在本须知规定的《响应文件》送达截止日期和时间后收到的任何《响应文件》。</w:t>
      </w:r>
    </w:p>
    <w:p w14:paraId="6B84712D">
      <w:pPr>
        <w:pStyle w:val="4"/>
        <w:spacing w:after="0" w:line="578" w:lineRule="exact"/>
        <w:jc w:val="center"/>
        <w:rPr>
          <w:rFonts w:hint="eastAsia" w:ascii="仿宋_GB2312" w:hAnsi="仿宋_GB2312" w:eastAsia="仿宋_GB2312" w:cs="仿宋_GB2312"/>
          <w:kern w:val="44"/>
          <w:sz w:val="32"/>
          <w:szCs w:val="32"/>
        </w:rPr>
      </w:pPr>
      <w:bookmarkStart w:id="41" w:name="_Toc520356163"/>
      <w:bookmarkStart w:id="42" w:name="_Toc13629"/>
      <w:bookmarkStart w:id="43" w:name="_Toc449524484"/>
    </w:p>
    <w:p w14:paraId="52F6C6E7">
      <w:pPr>
        <w:spacing w:line="578" w:lineRule="exact"/>
        <w:jc w:val="center"/>
        <w:rPr>
          <w:rFonts w:hint="eastAsia" w:ascii="黑体" w:hAnsi="黑体" w:eastAsia="黑体" w:cs="黑体"/>
          <w:kern w:val="44"/>
          <w:sz w:val="32"/>
          <w:szCs w:val="32"/>
        </w:rPr>
      </w:pPr>
      <w:r>
        <w:rPr>
          <w:rFonts w:hint="eastAsia" w:ascii="黑体" w:hAnsi="黑体" w:eastAsia="黑体" w:cs="黑体"/>
          <w:kern w:val="44"/>
          <w:sz w:val="32"/>
          <w:szCs w:val="32"/>
        </w:rPr>
        <w:t>五   磋商</w:t>
      </w:r>
      <w:bookmarkEnd w:id="41"/>
      <w:r>
        <w:rPr>
          <w:rFonts w:hint="eastAsia" w:ascii="黑体" w:hAnsi="黑体" w:eastAsia="黑体" w:cs="黑体"/>
          <w:kern w:val="44"/>
          <w:sz w:val="32"/>
          <w:szCs w:val="32"/>
        </w:rPr>
        <w:t>及评审</w:t>
      </w:r>
      <w:bookmarkEnd w:id="42"/>
      <w:bookmarkEnd w:id="43"/>
    </w:p>
    <w:p w14:paraId="603979FC">
      <w:pPr>
        <w:pStyle w:val="4"/>
        <w:spacing w:after="0" w:line="578" w:lineRule="exact"/>
        <w:jc w:val="center"/>
        <w:rPr>
          <w:rFonts w:hint="eastAsia" w:ascii="仿宋_GB2312" w:hAnsi="仿宋_GB2312" w:eastAsia="仿宋_GB2312" w:cs="仿宋_GB2312"/>
          <w:kern w:val="44"/>
          <w:sz w:val="32"/>
          <w:szCs w:val="32"/>
        </w:rPr>
      </w:pPr>
      <w:bookmarkStart w:id="44" w:name="_Toc15644"/>
      <w:bookmarkStart w:id="45" w:name="_Toc449524485"/>
    </w:p>
    <w:p w14:paraId="1809B23C">
      <w:pPr>
        <w:spacing w:line="578" w:lineRule="exact"/>
        <w:ind w:firstLine="640" w:firstLineChars="200"/>
        <w:rPr>
          <w:rFonts w:hint="eastAsia" w:ascii="楷体_GB2312" w:hAnsi="楷体_GB2312" w:eastAsia="楷体_GB2312" w:cs="楷体_GB2312"/>
          <w:kern w:val="44"/>
          <w:sz w:val="32"/>
          <w:szCs w:val="32"/>
        </w:rPr>
      </w:pPr>
      <w:r>
        <w:rPr>
          <w:rFonts w:hint="eastAsia" w:ascii="楷体_GB2312" w:hAnsi="楷体_GB2312" w:eastAsia="楷体_GB2312" w:cs="楷体_GB2312"/>
          <w:kern w:val="44"/>
          <w:sz w:val="32"/>
          <w:szCs w:val="32"/>
        </w:rPr>
        <w:t>（十二）送达响应文件</w:t>
      </w:r>
      <w:bookmarkEnd w:id="44"/>
      <w:bookmarkEnd w:id="45"/>
    </w:p>
    <w:p w14:paraId="47075AAC">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采购人、采购代理机构应当按磋商文件的规定，在《响应文件》送达截止时间的同一时间和预先确定的地点组织磋商活动，并邀请所有供应商代表参加。供应商代表应签名报到以证明其出席，</w:t>
      </w:r>
      <w:r>
        <w:rPr>
          <w:rFonts w:hint="eastAsia" w:ascii="仿宋_GB2312" w:hAnsi="仿宋_GB2312" w:eastAsia="仿宋_GB2312" w:cs="仿宋_GB2312"/>
          <w:sz w:val="32"/>
          <w:szCs w:val="32"/>
        </w:rPr>
        <w:t>同时授权代表须持有书面的 “法人代表授权书复印件（加盖公章、法人章）”，“法定代表人身份证复印件（加盖公章、法人章）”，“授权代表身份证原件及复印件（加盖公章）”。</w:t>
      </w:r>
      <w:bookmarkStart w:id="46" w:name="_Toc520356165"/>
    </w:p>
    <w:bookmarkEnd w:id="46"/>
    <w:p w14:paraId="002E5F24">
      <w:pPr>
        <w:spacing w:line="578" w:lineRule="exact"/>
        <w:ind w:firstLine="640" w:firstLineChars="200"/>
        <w:rPr>
          <w:rFonts w:hint="eastAsia" w:ascii="楷体_GB2312" w:hAnsi="楷体_GB2312" w:eastAsia="楷体_GB2312" w:cs="楷体_GB2312"/>
          <w:kern w:val="44"/>
          <w:sz w:val="32"/>
          <w:szCs w:val="32"/>
        </w:rPr>
      </w:pPr>
      <w:r>
        <w:rPr>
          <w:rFonts w:hint="eastAsia" w:ascii="楷体_GB2312" w:hAnsi="楷体_GB2312" w:eastAsia="楷体_GB2312" w:cs="楷体_GB2312"/>
          <w:kern w:val="44"/>
          <w:sz w:val="32"/>
          <w:szCs w:val="32"/>
        </w:rPr>
        <w:t>（十三）组建磋商小组</w:t>
      </w:r>
    </w:p>
    <w:p w14:paraId="0E0495B6">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磋商小组由采购人组建三人或以上单数评审专家组成。</w:t>
      </w:r>
    </w:p>
    <w:p w14:paraId="60F03258">
      <w:pPr>
        <w:spacing w:line="578" w:lineRule="exact"/>
        <w:ind w:firstLine="640" w:firstLineChars="200"/>
        <w:rPr>
          <w:rFonts w:hint="eastAsia" w:ascii="楷体_GB2312" w:hAnsi="楷体_GB2312" w:eastAsia="楷体_GB2312" w:cs="楷体_GB2312"/>
          <w:kern w:val="44"/>
          <w:sz w:val="32"/>
          <w:szCs w:val="32"/>
        </w:rPr>
      </w:pPr>
      <w:bookmarkStart w:id="47" w:name="_Toc520356166"/>
      <w:r>
        <w:rPr>
          <w:rFonts w:hint="eastAsia" w:ascii="楷体_GB2312" w:hAnsi="楷体_GB2312" w:eastAsia="楷体_GB2312" w:cs="楷体_GB2312"/>
          <w:kern w:val="44"/>
          <w:sz w:val="32"/>
          <w:szCs w:val="32"/>
        </w:rPr>
        <w:t>（十四）响应文件的初审</w:t>
      </w:r>
      <w:bookmarkEnd w:id="47"/>
    </w:p>
    <w:p w14:paraId="79C85042">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磋商小组将审查《响应文件》是否完整、总体编排是否有序、文件签署是否合格、有无计算上的错误等。</w:t>
      </w:r>
    </w:p>
    <w:p w14:paraId="14BBF4C8">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响应文件》的大写金额和小写金额不一致的，以大写金额为准；总价金额与单价汇总金额不一致的，以单价金额计算结果为准；单价金额小数点有明显错位的，应以总价为准，并修改单价；对不同文字文本《响应文件》的解释发生异议的，以中文文本为准。</w:t>
      </w:r>
    </w:p>
    <w:p w14:paraId="09AA596D">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在详细评审之前，根据本须知的规定，磋商小组要审查每份《响应文件》是否实质上响应了《磋商文件》的要求。实质上响应的报价应该是与《磋商文件》要求的实质性条款、条件和需求相符，没有重大偏离的报价。实质性响应条款以“★”形式在《磋商文件》中标注。不满足实质性条款要求的《响应文件》将视为无效。磋商小组决定报价的响应性只根据响应文件本身的内容，而不寻求外部的证据。</w:t>
      </w:r>
    </w:p>
    <w:p w14:paraId="673569FC">
      <w:pPr>
        <w:spacing w:line="578" w:lineRule="exact"/>
        <w:ind w:firstLine="640" w:firstLineChars="200"/>
        <w:rPr>
          <w:rFonts w:hint="eastAsia" w:ascii="仿宋_GB2312" w:hAnsi="仿宋_GB2312" w:eastAsia="仿宋_GB2312" w:cs="仿宋_GB2312"/>
          <w:kern w:val="44"/>
          <w:sz w:val="32"/>
          <w:szCs w:val="32"/>
        </w:rPr>
      </w:pPr>
      <w:bookmarkStart w:id="48" w:name="_Toc520356167"/>
      <w:r>
        <w:rPr>
          <w:rFonts w:hint="eastAsia" w:ascii="仿宋_GB2312" w:hAnsi="仿宋_GB2312" w:eastAsia="仿宋_GB2312" w:cs="仿宋_GB2312"/>
          <w:kern w:val="44"/>
          <w:sz w:val="32"/>
          <w:szCs w:val="32"/>
        </w:rPr>
        <w:t xml:space="preserve">供应商不得通过修正或撤销不符合要求的偏离或保留从而使其报价成为实质上响应的报价。如发现下列情况之一的，其响应文件及报价将被视为无效： </w:t>
      </w:r>
    </w:p>
    <w:p w14:paraId="072FDC04">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w:t>
      </w:r>
      <w:r>
        <w:rPr>
          <w:rFonts w:ascii="Times New Roman" w:hAnsi="Times New Roman" w:eastAsia="仿宋_GB2312" w:cs="Times New Roman"/>
          <w:kern w:val="44"/>
          <w:sz w:val="32"/>
          <w:szCs w:val="32"/>
        </w:rPr>
        <w:t>1</w:t>
      </w:r>
      <w:r>
        <w:rPr>
          <w:rFonts w:hint="eastAsia" w:ascii="仿宋_GB2312" w:hAnsi="仿宋_GB2312" w:eastAsia="仿宋_GB2312" w:cs="仿宋_GB2312"/>
          <w:kern w:val="44"/>
          <w:sz w:val="32"/>
          <w:szCs w:val="32"/>
        </w:rPr>
        <w:t>）在《响应文件》送达截止日期和时间后送达的《响应文件》；</w:t>
      </w:r>
    </w:p>
    <w:p w14:paraId="52183568">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w:t>
      </w:r>
      <w:r>
        <w:rPr>
          <w:rFonts w:ascii="Times New Roman" w:hAnsi="Times New Roman" w:eastAsia="仿宋_GB2312" w:cs="Times New Roman"/>
          <w:kern w:val="44"/>
          <w:sz w:val="32"/>
          <w:szCs w:val="32"/>
        </w:rPr>
        <w:t>2</w:t>
      </w:r>
      <w:r>
        <w:rPr>
          <w:rFonts w:hint="eastAsia" w:ascii="仿宋_GB2312" w:hAnsi="仿宋_GB2312" w:eastAsia="仿宋_GB2312" w:cs="仿宋_GB2312"/>
          <w:kern w:val="44"/>
          <w:sz w:val="32"/>
          <w:szCs w:val="32"/>
        </w:rPr>
        <w:t>）不具备《磋商文件》中规定资格要求的；</w:t>
      </w:r>
    </w:p>
    <w:p w14:paraId="05C5BA37">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w:t>
      </w:r>
      <w:r>
        <w:rPr>
          <w:rFonts w:ascii="Times New Roman" w:hAnsi="Times New Roman" w:eastAsia="仿宋_GB2312" w:cs="Times New Roman"/>
          <w:kern w:val="44"/>
          <w:sz w:val="32"/>
          <w:szCs w:val="32"/>
        </w:rPr>
        <w:t>3</w:t>
      </w:r>
      <w:r>
        <w:rPr>
          <w:rFonts w:hint="eastAsia" w:ascii="仿宋_GB2312" w:hAnsi="仿宋_GB2312" w:eastAsia="仿宋_GB2312" w:cs="仿宋_GB2312"/>
          <w:kern w:val="44"/>
          <w:sz w:val="32"/>
          <w:szCs w:val="32"/>
        </w:rPr>
        <w:t>）《响应文件》中提供虚假或失实资料的；</w:t>
      </w:r>
    </w:p>
    <w:p w14:paraId="0D8584E2">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w:t>
      </w:r>
      <w:r>
        <w:rPr>
          <w:rFonts w:ascii="Times New Roman" w:hAnsi="Times New Roman" w:eastAsia="仿宋_GB2312" w:cs="Times New Roman"/>
          <w:kern w:val="44"/>
          <w:sz w:val="32"/>
          <w:szCs w:val="32"/>
        </w:rPr>
        <w:t>4）</w:t>
      </w:r>
      <w:r>
        <w:rPr>
          <w:rFonts w:hint="eastAsia" w:ascii="仿宋_GB2312" w:hAnsi="仿宋_GB2312" w:eastAsia="仿宋_GB2312" w:cs="仿宋_GB2312"/>
          <w:kern w:val="44"/>
          <w:sz w:val="32"/>
          <w:szCs w:val="32"/>
        </w:rPr>
        <w:t>不符合法律、法规和《磋商文件》中规定的其他实质性要求的。</w:t>
      </w:r>
    </w:p>
    <w:p w14:paraId="56478EB8">
      <w:pPr>
        <w:spacing w:line="578" w:lineRule="exact"/>
        <w:ind w:firstLine="640" w:firstLineChars="200"/>
        <w:rPr>
          <w:rFonts w:hint="eastAsia" w:ascii="楷体_GB2312" w:hAnsi="楷体_GB2312" w:eastAsia="楷体_GB2312" w:cs="楷体_GB2312"/>
          <w:kern w:val="44"/>
          <w:sz w:val="32"/>
          <w:szCs w:val="32"/>
        </w:rPr>
      </w:pPr>
      <w:bookmarkStart w:id="49" w:name="_Toc449524486"/>
      <w:bookmarkStart w:id="50" w:name="_Toc29102"/>
      <w:r>
        <w:rPr>
          <w:rFonts w:hint="eastAsia" w:ascii="楷体_GB2312" w:hAnsi="楷体_GB2312" w:eastAsia="楷体_GB2312" w:cs="楷体_GB2312"/>
          <w:kern w:val="44"/>
          <w:sz w:val="32"/>
          <w:szCs w:val="32"/>
        </w:rPr>
        <w:t>（十五）响应文件的澄清</w:t>
      </w:r>
      <w:bookmarkEnd w:id="49"/>
      <w:bookmarkEnd w:id="50"/>
    </w:p>
    <w:p w14:paraId="123B00AA">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在评审期间，磋商小组有权要求供应商对其《响应文件》中含义不明确、对同类问题表述不一致或者有明显文字和计算错误的内容作必要的澄清、说明或者更正。</w:t>
      </w:r>
    </w:p>
    <w:p w14:paraId="7C9528BC">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供应商澄清、说明或者更正响应文件应当以书面形式作出，且不得超出《响应文件》的范围或者改变《响应文件》的实质性内容。供应商的澄清、说明或者更正应当由法定代表人本人或其授权代表本人签字或签章并加盖公章。由授权代表签字的，应当附法定代表人授权书。供应商为自然人的，应当由本人签字并附身份证明。</w:t>
      </w:r>
    </w:p>
    <w:p w14:paraId="0148B03C">
      <w:pPr>
        <w:spacing w:line="578" w:lineRule="exact"/>
        <w:ind w:firstLine="640" w:firstLineChars="200"/>
        <w:rPr>
          <w:rFonts w:hint="eastAsia" w:ascii="楷体_GB2312" w:hAnsi="楷体_GB2312" w:eastAsia="楷体_GB2312" w:cs="楷体_GB2312"/>
          <w:kern w:val="44"/>
          <w:sz w:val="32"/>
          <w:szCs w:val="32"/>
        </w:rPr>
      </w:pPr>
      <w:bookmarkStart w:id="51" w:name="_Toc449524487"/>
      <w:bookmarkStart w:id="52" w:name="_Toc6106"/>
      <w:r>
        <w:rPr>
          <w:rFonts w:hint="eastAsia" w:ascii="楷体_GB2312" w:hAnsi="楷体_GB2312" w:eastAsia="楷体_GB2312" w:cs="楷体_GB2312"/>
          <w:kern w:val="44"/>
          <w:sz w:val="32"/>
          <w:szCs w:val="32"/>
        </w:rPr>
        <w:t>（十六）磋商</w:t>
      </w:r>
      <w:bookmarkEnd w:id="51"/>
      <w:bookmarkEnd w:id="52"/>
    </w:p>
    <w:p w14:paraId="5C9D8BB1">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磋商小组所有成员集中与单一供应商分别进行磋商，并给予所有参加磋商的供应商平等的磋商机会。</w:t>
      </w:r>
    </w:p>
    <w:p w14:paraId="2304F15A">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在磋商中，磋商的任何一方不得透露与磋商有关的其他供应商的服务方案、价格和其他信息。</w:t>
      </w:r>
    </w:p>
    <w:p w14:paraId="0FABC5CB">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磋商小组可以根据《磋商文件》和磋商情况实质性变动采购需求中的服务要求以及合同条款。对《磋商文件》作出的实质性变动是《磋商文件》的有效组成部分，磋商小组将及时以书面形式同时通知所有参加磋商的供应商。</w:t>
      </w:r>
    </w:p>
    <w:p w14:paraId="4BCFA3C9">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供应商应当按照《磋商文件》的变动情况和磋商小组的要求重新提交《响应文件》，并由其法定代表人本人或授权代表签字或签章并加盖公章。由授权代表签字的，应当附法定代表人授权书。供应商为自然人的，应当由本人签字并附身份证明。</w:t>
      </w:r>
    </w:p>
    <w:p w14:paraId="77CB21D8">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磋商小组根据项目情况可进行一轮或多轮磋商。每轮磋商结束后，磋商小组应当要求所有参加磋商的供应商在规定时间内（一般以每轮磋商结束后半小时内）进行报价。最后报价以最后一轮磋商结束后的报价为准。</w:t>
      </w:r>
    </w:p>
    <w:p w14:paraId="46DE54C7">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如果未在规定时间内进行报价，则以上轮磋商的报价作为最后报价（进行一轮磋商</w:t>
      </w:r>
    </w:p>
    <w:bookmarkEnd w:id="48"/>
    <w:p w14:paraId="5A673321">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的，以其报价为准）。</w:t>
      </w:r>
    </w:p>
    <w:p w14:paraId="442154DA">
      <w:pPr>
        <w:spacing w:line="578" w:lineRule="exact"/>
        <w:ind w:firstLine="640" w:firstLineChars="200"/>
        <w:rPr>
          <w:rFonts w:hint="eastAsia" w:ascii="楷体_GB2312" w:hAnsi="楷体_GB2312" w:eastAsia="楷体_GB2312" w:cs="楷体_GB2312"/>
          <w:kern w:val="44"/>
          <w:sz w:val="32"/>
          <w:szCs w:val="32"/>
        </w:rPr>
      </w:pPr>
      <w:bookmarkStart w:id="53" w:name="_Toc449524488"/>
      <w:bookmarkStart w:id="54" w:name="_Toc8287"/>
      <w:r>
        <w:rPr>
          <w:rFonts w:hint="eastAsia" w:ascii="楷体_GB2312" w:hAnsi="楷体_GB2312" w:eastAsia="楷体_GB2312" w:cs="楷体_GB2312"/>
          <w:kern w:val="44"/>
          <w:sz w:val="32"/>
          <w:szCs w:val="32"/>
        </w:rPr>
        <w:t>（十七）评审</w:t>
      </w:r>
      <w:bookmarkEnd w:id="53"/>
      <w:bookmarkEnd w:id="54"/>
    </w:p>
    <w:p w14:paraId="4DC0FD32">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 xml:space="preserve">初步评审合格的响应文件，经磋商确定最终采购需求和提交最后报价的供应商后，磋商小组将根据《磋商文件》确定的评审原则和方法，对其服务方案部分和商务部分作进一步的评审和比较。 </w:t>
      </w:r>
    </w:p>
    <w:p w14:paraId="7FBE445F">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磋商小组采用综合评分法对提交最后报价的供应商的响应文件和最后报价进行综合评分。</w:t>
      </w:r>
    </w:p>
    <w:p w14:paraId="4151EF37">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综合评分法，是指《响应文件》满足《磋商文件》全部实质性要求且按评审因素的量化指标评审得分最高的供应商为成交候选供应商的评审方法。</w:t>
      </w:r>
    </w:p>
    <w:p w14:paraId="7F52F0CF">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综合评分法中的价格分统一采用低价优先法计算，即满足《磋商文件》要求且最后报价最低的供应商的价格为磋商基准价，其价格分为满分。其他供应商的价格分统一按照下列公式计算：磋商报价得分=（磋商基准价/最后磋商报价）</w:t>
      </w:r>
      <w:r>
        <w:rPr>
          <w:rFonts w:ascii="Times New Roman" w:hAnsi="Times New Roman" w:eastAsia="仿宋_GB2312" w:cs="Times New Roman"/>
          <w:kern w:val="44"/>
          <w:sz w:val="32"/>
          <w:szCs w:val="32"/>
        </w:rPr>
        <w:t>×25</w:t>
      </w:r>
      <w:r>
        <w:rPr>
          <w:rFonts w:hint="eastAsia" w:ascii="仿宋_GB2312" w:hAnsi="仿宋_GB2312" w:eastAsia="仿宋_GB2312" w:cs="仿宋_GB2312"/>
          <w:kern w:val="44"/>
          <w:sz w:val="32"/>
          <w:szCs w:val="32"/>
        </w:rPr>
        <w:t>。</w:t>
      </w:r>
    </w:p>
    <w:p w14:paraId="2BED419E">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注：最低报价不作为成交保证。</w:t>
      </w:r>
    </w:p>
    <w:p w14:paraId="47FB0D29">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磋商过程中，如果磋商小组认为供应商的报价或者某些分项报价明显不合理或者低于成本，有可能影响服务质量和不能诚信履约的，应当要求其在规定的期限内予以解释说明，并提交相关证明材料。供应商的澄清或者解释应当采用书面形式，其法定代表人本人或授权代表本人签字或签章并加盖公章。由授权代表签字的，应当附法定代表人授权书。供应商为自然人的，应当由本人签字并附身份证明。如果磋商小组认为供应商所做的澄清或者解释不能被接受，有权利拒绝其成交。</w:t>
      </w:r>
    </w:p>
    <w:p w14:paraId="0534B1AB">
      <w:pPr>
        <w:spacing w:line="578" w:lineRule="exact"/>
        <w:ind w:firstLine="640" w:firstLineChars="200"/>
        <w:rPr>
          <w:rFonts w:hint="eastAsia" w:ascii="楷体_GB2312" w:hAnsi="楷体_GB2312" w:eastAsia="楷体_GB2312" w:cs="楷体_GB2312"/>
          <w:kern w:val="44"/>
          <w:sz w:val="32"/>
          <w:szCs w:val="32"/>
        </w:rPr>
      </w:pPr>
      <w:bookmarkStart w:id="55" w:name="_Toc417"/>
      <w:bookmarkStart w:id="56" w:name="_Toc449524489"/>
      <w:r>
        <w:rPr>
          <w:rFonts w:hint="eastAsia" w:ascii="楷体_GB2312" w:hAnsi="楷体_GB2312" w:eastAsia="楷体_GB2312" w:cs="楷体_GB2312"/>
          <w:kern w:val="44"/>
          <w:sz w:val="32"/>
          <w:szCs w:val="32"/>
        </w:rPr>
        <w:t>（十八）评审过程及保密原则</w:t>
      </w:r>
      <w:bookmarkEnd w:id="55"/>
      <w:bookmarkEnd w:id="56"/>
    </w:p>
    <w:p w14:paraId="5190A372">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送达《响应文件》之后，直到授予成交供应商合同止，凡与本次磋商有关人员对属于审查、澄清、评价和比较报价的有关资料以及授标意向等，均不得向供应商或其他无关的人员透露。</w:t>
      </w:r>
    </w:p>
    <w:p w14:paraId="34DB1A57">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在磋商期间，供应商试图影响采购人、采购代理机构和磋商小组的任何活动，其响应视为无效，并承担相应的法律责任。</w:t>
      </w:r>
    </w:p>
    <w:p w14:paraId="548E51D9">
      <w:pPr>
        <w:pStyle w:val="4"/>
        <w:spacing w:after="0" w:line="578" w:lineRule="exact"/>
        <w:jc w:val="center"/>
        <w:rPr>
          <w:rFonts w:hint="eastAsia" w:ascii="仿宋_GB2312" w:hAnsi="仿宋_GB2312" w:eastAsia="仿宋_GB2312" w:cs="仿宋_GB2312"/>
          <w:kern w:val="44"/>
          <w:sz w:val="32"/>
          <w:szCs w:val="32"/>
        </w:rPr>
      </w:pPr>
      <w:bookmarkStart w:id="57" w:name="_Toc520356169"/>
      <w:bookmarkStart w:id="58" w:name="_Toc449524490"/>
      <w:bookmarkStart w:id="59" w:name="_Toc27031"/>
    </w:p>
    <w:p w14:paraId="4070ED05">
      <w:pPr>
        <w:spacing w:line="578" w:lineRule="exact"/>
        <w:jc w:val="center"/>
        <w:rPr>
          <w:rFonts w:hint="eastAsia" w:ascii="黑体" w:hAnsi="黑体" w:eastAsia="黑体" w:cs="黑体"/>
          <w:kern w:val="44"/>
          <w:sz w:val="32"/>
          <w:szCs w:val="32"/>
        </w:rPr>
      </w:pPr>
    </w:p>
    <w:p w14:paraId="72E6CE4A">
      <w:pPr>
        <w:spacing w:line="578" w:lineRule="exact"/>
        <w:jc w:val="center"/>
        <w:rPr>
          <w:rFonts w:hint="eastAsia" w:ascii="黑体" w:hAnsi="黑体" w:eastAsia="黑体" w:cs="黑体"/>
          <w:kern w:val="44"/>
          <w:sz w:val="32"/>
          <w:szCs w:val="32"/>
        </w:rPr>
      </w:pPr>
      <w:r>
        <w:rPr>
          <w:rFonts w:hint="eastAsia" w:ascii="黑体" w:hAnsi="黑体" w:eastAsia="黑体" w:cs="黑体"/>
          <w:kern w:val="44"/>
          <w:sz w:val="32"/>
          <w:szCs w:val="32"/>
        </w:rPr>
        <w:t>六</w:t>
      </w:r>
      <w:bookmarkEnd w:id="57"/>
      <w:r>
        <w:rPr>
          <w:rFonts w:hint="eastAsia" w:ascii="黑体" w:hAnsi="黑体" w:eastAsia="黑体" w:cs="黑体"/>
          <w:kern w:val="44"/>
          <w:sz w:val="32"/>
          <w:szCs w:val="32"/>
        </w:rPr>
        <w:t xml:space="preserve">   确定成交供应商</w:t>
      </w:r>
      <w:bookmarkEnd w:id="58"/>
      <w:bookmarkEnd w:id="59"/>
    </w:p>
    <w:p w14:paraId="1B84F2A2">
      <w:pPr>
        <w:pStyle w:val="4"/>
        <w:spacing w:after="0" w:line="578" w:lineRule="exact"/>
        <w:jc w:val="center"/>
        <w:rPr>
          <w:rFonts w:hint="eastAsia" w:ascii="仿宋_GB2312" w:hAnsi="仿宋_GB2312" w:eastAsia="仿宋_GB2312" w:cs="仿宋_GB2312"/>
          <w:kern w:val="44"/>
          <w:sz w:val="32"/>
          <w:szCs w:val="32"/>
        </w:rPr>
      </w:pPr>
      <w:bookmarkStart w:id="60" w:name="_Toc449524491"/>
      <w:bookmarkStart w:id="61" w:name="_Ref467307010"/>
      <w:bookmarkStart w:id="62" w:name="_Toc520356170"/>
      <w:bookmarkStart w:id="63" w:name="_Toc23026"/>
    </w:p>
    <w:p w14:paraId="565CED2B">
      <w:pPr>
        <w:spacing w:line="578" w:lineRule="exact"/>
        <w:ind w:firstLine="640" w:firstLineChars="200"/>
        <w:rPr>
          <w:rFonts w:hint="eastAsia" w:ascii="楷体_GB2312" w:hAnsi="楷体_GB2312" w:eastAsia="楷体_GB2312" w:cs="楷体_GB2312"/>
          <w:kern w:val="44"/>
          <w:sz w:val="32"/>
          <w:szCs w:val="32"/>
        </w:rPr>
      </w:pPr>
      <w:r>
        <w:rPr>
          <w:rFonts w:hint="eastAsia" w:ascii="楷体_GB2312" w:hAnsi="楷体_GB2312" w:eastAsia="楷体_GB2312" w:cs="楷体_GB2312"/>
          <w:kern w:val="44"/>
          <w:sz w:val="32"/>
          <w:szCs w:val="32"/>
        </w:rPr>
        <w:t>（十九）成交候选供应商的确定标准</w:t>
      </w:r>
      <w:bookmarkEnd w:id="60"/>
      <w:bookmarkEnd w:id="61"/>
      <w:bookmarkEnd w:id="62"/>
      <w:bookmarkEnd w:id="63"/>
    </w:p>
    <w:p w14:paraId="46036CED">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成交候选供应商的确定原则及标准：按评审后得分由高到低顺序排列。总得分最高的供应商为成交候选供应商，次之作为成交备选供应商。评审得分相同的，按照最后报价由低到高的顺序推荐。评审得分且最后报价相同的，按照服务方案优劣顺序推荐。</w:t>
      </w:r>
    </w:p>
    <w:p w14:paraId="0C76A5EE">
      <w:pPr>
        <w:spacing w:line="578" w:lineRule="exact"/>
        <w:ind w:firstLine="640" w:firstLineChars="200"/>
        <w:rPr>
          <w:rFonts w:hint="eastAsia" w:ascii="楷体_GB2312" w:hAnsi="楷体_GB2312" w:eastAsia="楷体_GB2312" w:cs="楷体_GB2312"/>
          <w:kern w:val="44"/>
          <w:sz w:val="32"/>
          <w:szCs w:val="32"/>
        </w:rPr>
      </w:pPr>
      <w:bookmarkStart w:id="64" w:name="_Toc520356173"/>
      <w:bookmarkStart w:id="65" w:name="_Toc449524492"/>
      <w:bookmarkStart w:id="66" w:name="_Toc28126"/>
      <w:bookmarkStart w:id="67" w:name="_Toc520356172"/>
      <w:bookmarkStart w:id="68" w:name="_Ref467306874"/>
      <w:r>
        <w:rPr>
          <w:rFonts w:hint="eastAsia" w:ascii="楷体_GB2312" w:hAnsi="楷体_GB2312" w:eastAsia="楷体_GB2312" w:cs="楷体_GB2312"/>
          <w:kern w:val="44"/>
          <w:sz w:val="32"/>
          <w:szCs w:val="32"/>
        </w:rPr>
        <w:t>（二十）接受和拒绝任何或所有报价的权利</w:t>
      </w:r>
      <w:bookmarkEnd w:id="64"/>
      <w:bookmarkEnd w:id="65"/>
      <w:bookmarkEnd w:id="66"/>
      <w:bookmarkEnd w:id="67"/>
      <w:bookmarkEnd w:id="68"/>
    </w:p>
    <w:p w14:paraId="3EC8492B">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为维护国家和社会公共利益，采购人保留在授标之前任何时候接受或拒绝任何报价的权利，且对受影响的供应商不承担任何责任。</w:t>
      </w:r>
    </w:p>
    <w:p w14:paraId="24ABC8D2">
      <w:pPr>
        <w:spacing w:line="578" w:lineRule="exact"/>
        <w:ind w:firstLine="640" w:firstLineChars="200"/>
        <w:rPr>
          <w:rFonts w:hint="eastAsia" w:ascii="楷体_GB2312" w:hAnsi="楷体_GB2312" w:eastAsia="楷体_GB2312" w:cs="楷体_GB2312"/>
          <w:kern w:val="44"/>
          <w:sz w:val="32"/>
          <w:szCs w:val="32"/>
        </w:rPr>
      </w:pPr>
      <w:bookmarkStart w:id="69" w:name="_Toc10769"/>
      <w:bookmarkStart w:id="70" w:name="_Toc449524493"/>
      <w:r>
        <w:rPr>
          <w:rFonts w:hint="eastAsia" w:ascii="楷体_GB2312" w:hAnsi="楷体_GB2312" w:eastAsia="楷体_GB2312" w:cs="楷体_GB2312"/>
          <w:kern w:val="44"/>
          <w:sz w:val="32"/>
          <w:szCs w:val="32"/>
        </w:rPr>
        <w:t>（二十一）签订合同的权利</w:t>
      </w:r>
      <w:bookmarkEnd w:id="69"/>
      <w:bookmarkEnd w:id="70"/>
    </w:p>
    <w:p w14:paraId="6D43DDBA">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因不可抗力或成交供应商不能履约等情形，采购人保留与其他候选供应商签订合同的权利。</w:t>
      </w:r>
    </w:p>
    <w:p w14:paraId="5F9E26AC">
      <w:pPr>
        <w:spacing w:line="578" w:lineRule="exact"/>
        <w:ind w:firstLine="640" w:firstLineChars="200"/>
        <w:rPr>
          <w:rFonts w:hint="eastAsia" w:ascii="楷体_GB2312" w:hAnsi="楷体_GB2312" w:eastAsia="楷体_GB2312" w:cs="楷体_GB2312"/>
          <w:kern w:val="44"/>
          <w:sz w:val="32"/>
          <w:szCs w:val="32"/>
        </w:rPr>
      </w:pPr>
      <w:bookmarkStart w:id="71" w:name="_Toc22717"/>
      <w:bookmarkStart w:id="72" w:name="_Toc520356174"/>
      <w:bookmarkStart w:id="73" w:name="_Toc449524494"/>
      <w:r>
        <w:rPr>
          <w:rFonts w:hint="eastAsia" w:ascii="楷体_GB2312" w:hAnsi="楷体_GB2312" w:eastAsia="楷体_GB2312" w:cs="楷体_GB2312"/>
          <w:kern w:val="44"/>
          <w:sz w:val="32"/>
          <w:szCs w:val="32"/>
        </w:rPr>
        <w:t>（二十二）成交通知书</w:t>
      </w:r>
      <w:bookmarkEnd w:id="71"/>
      <w:bookmarkEnd w:id="72"/>
      <w:bookmarkEnd w:id="73"/>
    </w:p>
    <w:p w14:paraId="513E894C">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成交供应商确定后，采购代理机构以书面形式向成交供应商发出成交通知书。成交通知书是合同的组成部分。</w:t>
      </w:r>
    </w:p>
    <w:p w14:paraId="67260944">
      <w:pPr>
        <w:spacing w:line="578" w:lineRule="exact"/>
        <w:ind w:firstLine="640" w:firstLineChars="200"/>
        <w:rPr>
          <w:rFonts w:hint="eastAsia" w:ascii="楷体_GB2312" w:hAnsi="楷体_GB2312" w:eastAsia="楷体_GB2312" w:cs="楷体_GB2312"/>
          <w:kern w:val="44"/>
          <w:sz w:val="32"/>
          <w:szCs w:val="32"/>
        </w:rPr>
      </w:pPr>
      <w:bookmarkStart w:id="74" w:name="_Ref467307204"/>
      <w:bookmarkStart w:id="75" w:name="_Ref467306377"/>
      <w:bookmarkStart w:id="76" w:name="_Ref467307062"/>
      <w:bookmarkStart w:id="77" w:name="_Toc520356175"/>
      <w:bookmarkStart w:id="78" w:name="_Toc449524495"/>
      <w:bookmarkStart w:id="79" w:name="_Toc347"/>
      <w:bookmarkStart w:id="80" w:name="_Ref467306978"/>
      <w:r>
        <w:rPr>
          <w:rFonts w:hint="eastAsia" w:ascii="楷体_GB2312" w:hAnsi="楷体_GB2312" w:eastAsia="楷体_GB2312" w:cs="楷体_GB2312"/>
          <w:kern w:val="44"/>
          <w:sz w:val="32"/>
          <w:szCs w:val="32"/>
        </w:rPr>
        <w:t>（二十三）签订合同</w:t>
      </w:r>
      <w:bookmarkEnd w:id="74"/>
      <w:bookmarkEnd w:id="75"/>
      <w:bookmarkEnd w:id="76"/>
      <w:bookmarkEnd w:id="77"/>
      <w:bookmarkEnd w:id="78"/>
      <w:bookmarkEnd w:id="79"/>
      <w:bookmarkEnd w:id="80"/>
    </w:p>
    <w:p w14:paraId="393E5BAE">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成交供应商应当自收到成交通知书之日</w:t>
      </w:r>
      <w:r>
        <w:rPr>
          <w:rFonts w:ascii="Times New Roman" w:hAnsi="Times New Roman" w:eastAsia="仿宋_GB2312" w:cs="Times New Roman"/>
          <w:kern w:val="44"/>
          <w:sz w:val="32"/>
          <w:szCs w:val="32"/>
        </w:rPr>
        <w:t>起30</w:t>
      </w:r>
      <w:r>
        <w:rPr>
          <w:rFonts w:hint="eastAsia" w:ascii="仿宋_GB2312" w:hAnsi="仿宋_GB2312" w:eastAsia="仿宋_GB2312" w:cs="仿宋_GB2312"/>
          <w:kern w:val="44"/>
          <w:sz w:val="32"/>
          <w:szCs w:val="32"/>
        </w:rPr>
        <w:t>日内，按照磋商文件确定的合同文本以及采购标的、服务需求、采购金额、采购数量等事项与采购人签订采购合同，否则按撤回响应文件处理。</w:t>
      </w:r>
    </w:p>
    <w:p w14:paraId="28500438">
      <w:pPr>
        <w:spacing w:line="578" w:lineRule="exact"/>
        <w:ind w:firstLine="640" w:firstLineChars="200"/>
        <w:rPr>
          <w:rFonts w:hint="eastAsia" w:ascii="仿宋_GB2312" w:hAnsi="仿宋_GB2312" w:eastAsia="仿宋_GB2312" w:cs="仿宋_GB2312"/>
          <w:kern w:val="44"/>
          <w:sz w:val="32"/>
          <w:szCs w:val="32"/>
        </w:rPr>
      </w:pPr>
      <w:bookmarkStart w:id="81" w:name="_Ref467306425"/>
      <w:bookmarkStart w:id="82" w:name="_Ref467307090"/>
      <w:bookmarkStart w:id="83" w:name="_Toc520356176"/>
      <w:r>
        <w:rPr>
          <w:rFonts w:hint="eastAsia" w:ascii="仿宋_GB2312" w:hAnsi="仿宋_GB2312" w:eastAsia="仿宋_GB2312" w:cs="仿宋_GB2312"/>
          <w:kern w:val="44"/>
          <w:sz w:val="32"/>
          <w:szCs w:val="32"/>
        </w:rPr>
        <w:t>《磋商文件》、成交供应商的《响应文件》及其澄清文件等，均为签订合同的依据。</w:t>
      </w:r>
      <w:bookmarkEnd w:id="81"/>
      <w:bookmarkEnd w:id="82"/>
      <w:bookmarkEnd w:id="83"/>
    </w:p>
    <w:p w14:paraId="20BEA24D">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成交供应商拒绝签订采购合同的，采购人可以按照《政府采购竞争性磋商采购方式管理暂行办法》第二十八条第二款规定的原则确定其他供应商作为成交供应商并签订采购合同，也可以重新开展采购活动。拒绝签订采购合同的成交供应商不得参加对该项目重新开展的采购活动。</w:t>
      </w:r>
    </w:p>
    <w:p w14:paraId="4C65222A">
      <w:pPr>
        <w:spacing w:line="578" w:lineRule="exact"/>
        <w:ind w:firstLine="640" w:firstLineChars="200"/>
        <w:rPr>
          <w:rFonts w:hint="eastAsia" w:ascii="仿宋_GB2312" w:hAnsi="仿宋_GB2312" w:eastAsia="仿宋_GB2312" w:cs="仿宋_GB2312"/>
          <w:kern w:val="44"/>
          <w:sz w:val="32"/>
          <w:szCs w:val="32"/>
        </w:rPr>
      </w:pPr>
      <w:r>
        <w:rPr>
          <w:rFonts w:hint="eastAsia" w:ascii="仿宋_GB2312" w:hAnsi="仿宋_GB2312" w:eastAsia="仿宋_GB2312" w:cs="仿宋_GB2312"/>
          <w:kern w:val="44"/>
          <w:sz w:val="32"/>
          <w:szCs w:val="32"/>
        </w:rPr>
        <w:t>自采购合同签订之日起</w:t>
      </w:r>
      <w:r>
        <w:rPr>
          <w:rFonts w:ascii="Times New Roman" w:hAnsi="Times New Roman" w:eastAsia="仿宋_GB2312" w:cs="Times New Roman"/>
          <w:kern w:val="44"/>
          <w:sz w:val="32"/>
          <w:szCs w:val="32"/>
        </w:rPr>
        <w:t>10</w:t>
      </w:r>
      <w:r>
        <w:rPr>
          <w:rFonts w:hint="eastAsia" w:ascii="仿宋_GB2312" w:hAnsi="仿宋_GB2312" w:eastAsia="仿宋_GB2312" w:cs="仿宋_GB2312"/>
          <w:kern w:val="44"/>
          <w:sz w:val="32"/>
          <w:szCs w:val="32"/>
        </w:rPr>
        <w:t>个工作日内，采购人将采购合同在达州市水务局门户网站上公告，但采购合同中涉及国家秘密、商业秘密的内容除外。</w:t>
      </w:r>
    </w:p>
    <w:p w14:paraId="5EDC75F4">
      <w:pPr>
        <w:pStyle w:val="14"/>
        <w:spacing w:before="0" w:line="578" w:lineRule="exact"/>
        <w:ind w:left="0" w:firstLine="643"/>
        <w:jc w:val="center"/>
        <w:rPr>
          <w:rFonts w:hint="eastAsia" w:ascii="仿宋_GB2312" w:hAnsi="仿宋_GB2312" w:eastAsia="仿宋_GB2312" w:cs="仿宋_GB2312"/>
          <w:b/>
          <w:color w:val="000000"/>
          <w:sz w:val="32"/>
          <w:szCs w:val="32"/>
          <w:lang w:eastAsia="zh-CN"/>
        </w:rPr>
      </w:pPr>
      <w:bookmarkStart w:id="84" w:name="_Toc6154"/>
      <w:bookmarkStart w:id="85" w:name="_Toc104383960"/>
    </w:p>
    <w:p w14:paraId="4AA60388">
      <w:pPr>
        <w:spacing w:line="578" w:lineRule="exact"/>
        <w:jc w:val="center"/>
        <w:rPr>
          <w:rFonts w:hint="eastAsia" w:ascii="黑体" w:hAnsi="黑体" w:eastAsia="黑体" w:cs="黑体"/>
          <w:sz w:val="32"/>
          <w:szCs w:val="32"/>
        </w:rPr>
      </w:pPr>
      <w:r>
        <w:rPr>
          <w:rFonts w:hint="eastAsia" w:ascii="黑体" w:hAnsi="黑体" w:eastAsia="黑体" w:cs="黑体"/>
          <w:sz w:val="32"/>
          <w:szCs w:val="32"/>
        </w:rPr>
        <w:t>第三部分 技术需求</w:t>
      </w:r>
      <w:bookmarkEnd w:id="84"/>
      <w:bookmarkEnd w:id="85"/>
    </w:p>
    <w:p w14:paraId="5DE255D7">
      <w:pPr>
        <w:pStyle w:val="14"/>
        <w:spacing w:before="0" w:line="578" w:lineRule="exact"/>
        <w:ind w:left="0" w:firstLine="643"/>
        <w:jc w:val="center"/>
        <w:rPr>
          <w:rFonts w:hint="eastAsia" w:ascii="仿宋_GB2312" w:hAnsi="仿宋_GB2312" w:eastAsia="仿宋_GB2312" w:cs="仿宋_GB2312"/>
          <w:b/>
          <w:color w:val="000000"/>
          <w:sz w:val="32"/>
          <w:szCs w:val="32"/>
          <w:lang w:eastAsia="zh-CN"/>
        </w:rPr>
      </w:pPr>
    </w:p>
    <w:p w14:paraId="4F04065A">
      <w:pPr>
        <w:pStyle w:val="14"/>
        <w:spacing w:before="0" w:line="578" w:lineRule="exact"/>
        <w:ind w:left="0" w:firstLine="640" w:firstLineChars="200"/>
        <w:jc w:val="both"/>
        <w:rPr>
          <w:rFonts w:hint="eastAsia" w:ascii="仿宋_GB2312" w:hAnsi="仿宋_GB2312" w:eastAsia="仿宋_GB2312" w:cs="仿宋_GB2312"/>
          <w:kern w:val="44"/>
          <w:sz w:val="32"/>
          <w:szCs w:val="32"/>
          <w:lang w:eastAsia="zh-CN"/>
        </w:rPr>
      </w:pPr>
      <w:r>
        <w:rPr>
          <w:rFonts w:hint="eastAsia" w:ascii="仿宋_GB2312" w:hAnsi="仿宋_GB2312" w:eastAsia="仿宋_GB2312" w:cs="仿宋_GB2312"/>
          <w:kern w:val="44"/>
          <w:sz w:val="32"/>
          <w:szCs w:val="32"/>
          <w:lang w:eastAsia="zh-CN"/>
        </w:rPr>
        <w:t>为确保土溪口水库工程202</w:t>
      </w:r>
      <w:r>
        <w:rPr>
          <w:rFonts w:hint="eastAsia" w:ascii="仿宋_GB2312" w:hAnsi="仿宋_GB2312" w:eastAsia="仿宋_GB2312" w:cs="仿宋_GB2312"/>
          <w:kern w:val="44"/>
          <w:sz w:val="32"/>
          <w:szCs w:val="32"/>
          <w:lang w:val="en-US" w:eastAsia="zh-CN"/>
        </w:rPr>
        <w:t>6</w:t>
      </w:r>
      <w:r>
        <w:rPr>
          <w:rFonts w:hint="eastAsia" w:ascii="仿宋_GB2312" w:hAnsi="仿宋_GB2312" w:eastAsia="仿宋_GB2312" w:cs="仿宋_GB2312"/>
          <w:kern w:val="44"/>
          <w:sz w:val="32"/>
          <w:szCs w:val="32"/>
          <w:lang w:eastAsia="zh-CN"/>
        </w:rPr>
        <w:t>年安全度汛，切实提高汛期应急处置能力。因此，汛前的《土溪口水库工程202</w:t>
      </w:r>
      <w:r>
        <w:rPr>
          <w:rFonts w:hint="eastAsia" w:ascii="仿宋_GB2312" w:hAnsi="仿宋_GB2312" w:eastAsia="仿宋_GB2312" w:cs="仿宋_GB2312"/>
          <w:kern w:val="44"/>
          <w:sz w:val="32"/>
          <w:szCs w:val="32"/>
          <w:lang w:val="en-US" w:eastAsia="zh-CN"/>
        </w:rPr>
        <w:t>6</w:t>
      </w:r>
      <w:r>
        <w:rPr>
          <w:rFonts w:hint="eastAsia" w:ascii="仿宋_GB2312" w:hAnsi="仿宋_GB2312" w:eastAsia="仿宋_GB2312" w:cs="仿宋_GB2312"/>
          <w:kern w:val="44"/>
          <w:sz w:val="32"/>
          <w:szCs w:val="32"/>
          <w:lang w:eastAsia="zh-CN"/>
        </w:rPr>
        <w:t>年度汛方案》、《土溪口水库工程202</w:t>
      </w:r>
      <w:r>
        <w:rPr>
          <w:rFonts w:hint="eastAsia" w:ascii="仿宋_GB2312" w:hAnsi="仿宋_GB2312" w:eastAsia="仿宋_GB2312" w:cs="仿宋_GB2312"/>
          <w:kern w:val="44"/>
          <w:sz w:val="32"/>
          <w:szCs w:val="32"/>
          <w:lang w:val="en-US" w:eastAsia="zh-CN"/>
        </w:rPr>
        <w:t>6</w:t>
      </w:r>
      <w:r>
        <w:rPr>
          <w:rFonts w:hint="eastAsia" w:ascii="仿宋_GB2312" w:hAnsi="仿宋_GB2312" w:eastAsia="仿宋_GB2312" w:cs="仿宋_GB2312"/>
          <w:kern w:val="44"/>
          <w:sz w:val="32"/>
          <w:szCs w:val="32"/>
          <w:lang w:eastAsia="zh-CN"/>
        </w:rPr>
        <w:t>年防洪抢险应急预案》、《土溪口水库工程202</w:t>
      </w:r>
      <w:r>
        <w:rPr>
          <w:rFonts w:hint="eastAsia" w:ascii="仿宋_GB2312" w:hAnsi="仿宋_GB2312" w:eastAsia="仿宋_GB2312" w:cs="仿宋_GB2312"/>
          <w:kern w:val="44"/>
          <w:sz w:val="32"/>
          <w:szCs w:val="32"/>
          <w:lang w:val="en-US" w:eastAsia="zh-CN"/>
        </w:rPr>
        <w:t>6</w:t>
      </w:r>
      <w:r>
        <w:rPr>
          <w:rFonts w:hint="eastAsia" w:ascii="仿宋_GB2312" w:hAnsi="仿宋_GB2312" w:eastAsia="仿宋_GB2312" w:cs="仿宋_GB2312"/>
          <w:kern w:val="44"/>
          <w:sz w:val="32"/>
          <w:szCs w:val="32"/>
          <w:lang w:eastAsia="zh-CN"/>
        </w:rPr>
        <w:t>年超标准洪水应急预案》和《土溪口水库工程</w:t>
      </w:r>
      <w:r>
        <w:rPr>
          <w:rFonts w:hint="eastAsia" w:ascii="仿宋_GB2312" w:hAnsi="仿宋_GB2312" w:eastAsia="仿宋_GB2312" w:cs="仿宋_GB2312"/>
          <w:kern w:val="44"/>
          <w:sz w:val="32"/>
          <w:szCs w:val="32"/>
          <w:lang w:val="en-US" w:eastAsia="zh-CN"/>
        </w:rPr>
        <w:t>2026年</w:t>
      </w:r>
      <w:r>
        <w:rPr>
          <w:rFonts w:hint="eastAsia" w:ascii="仿宋_GB2312" w:hAnsi="仿宋_GB2312" w:eastAsia="仿宋_GB2312" w:cs="仿宋_GB2312"/>
          <w:kern w:val="44"/>
          <w:sz w:val="32"/>
          <w:szCs w:val="32"/>
          <w:lang w:eastAsia="zh-CN"/>
        </w:rPr>
        <w:t>溃坝洪水计算分析报告》等的编制是一个系统性、科学性的工作。要求编制报告依据充分，编制内容详实，可以为该工程防洪度汛工作提供切实有效的技术支撑。</w:t>
      </w:r>
    </w:p>
    <w:p w14:paraId="7F598B03">
      <w:pPr>
        <w:spacing w:line="578" w:lineRule="exact"/>
        <w:ind w:firstLine="640" w:firstLineChars="200"/>
        <w:rPr>
          <w:rFonts w:hint="eastAsia" w:ascii="仿宋_GB2312" w:hAnsi="仿宋_GB2312" w:eastAsia="仿宋_GB2312" w:cs="仿宋_GB2312"/>
          <w:sz w:val="32"/>
          <w:szCs w:val="32"/>
        </w:rPr>
        <w:sectPr>
          <w:footerReference r:id="rId4" w:type="default"/>
          <w:pgSz w:w="11907" w:h="16840"/>
          <w:pgMar w:top="1304" w:right="1418" w:bottom="1247" w:left="1418" w:header="851" w:footer="992" w:gutter="0"/>
          <w:pgNumType w:fmt="numberInDash"/>
          <w:cols w:space="720" w:num="1"/>
        </w:sectPr>
      </w:pPr>
    </w:p>
    <w:p w14:paraId="58161890">
      <w:pPr>
        <w:pStyle w:val="2"/>
        <w:keepNext w:val="0"/>
        <w:keepLines w:val="0"/>
        <w:spacing w:line="360" w:lineRule="auto"/>
        <w:ind w:firstLine="643"/>
        <w:jc w:val="center"/>
        <w:rPr>
          <w:rFonts w:hint="eastAsia" w:ascii="仿宋_GB2312" w:hAnsi="仿宋_GB2312" w:eastAsia="仿宋_GB2312" w:cs="仿宋_GB2312"/>
          <w:bCs/>
          <w:szCs w:val="32"/>
        </w:rPr>
      </w:pPr>
      <w:bookmarkStart w:id="86" w:name="_Toc104383961"/>
      <w:bookmarkStart w:id="87" w:name="_Toc14990"/>
      <w:r>
        <w:rPr>
          <w:rFonts w:hint="eastAsia" w:ascii="仿宋_GB2312" w:hAnsi="仿宋_GB2312" w:eastAsia="仿宋_GB2312" w:cs="仿宋_GB2312"/>
          <w:bCs/>
          <w:szCs w:val="32"/>
        </w:rPr>
        <w:t>第四部分评分标准</w:t>
      </w:r>
      <w:bookmarkEnd w:id="86"/>
      <w:bookmarkEnd w:id="87"/>
    </w:p>
    <w:p w14:paraId="62B92ED7">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一、评审方法：本项目采用综合评分法，即响应文件满足磋商文件全部实质性要求且按评审因素的量化指标评审得分最高的供应商为成交候选供应商的评审方法。</w:t>
      </w:r>
    </w:p>
    <w:p w14:paraId="7546E8D6">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二、综合评分的主要因素是：实力、业绩、服务，以及相应的比重或者权值等。</w:t>
      </w:r>
    </w:p>
    <w:p w14:paraId="3C5F47D0">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三、评审因素及所占权重：详见评审标准细则。</w:t>
      </w:r>
    </w:p>
    <w:p w14:paraId="2E52C9F6">
      <w:pPr>
        <w:pStyle w:val="4"/>
        <w:rPr>
          <w:rFonts w:hint="eastAsia" w:ascii="仿宋_GB2312" w:hAnsi="仿宋_GB2312" w:eastAsia="仿宋_GB2312" w:cs="仿宋_GB2312"/>
          <w:sz w:val="32"/>
          <w:szCs w:val="32"/>
        </w:rPr>
      </w:pPr>
    </w:p>
    <w:p w14:paraId="391A9C36">
      <w:pPr>
        <w:pStyle w:val="10"/>
        <w:ind w:firstLine="640"/>
        <w:rPr>
          <w:rFonts w:hint="eastAsia" w:ascii="仿宋_GB2312" w:hAnsi="仿宋_GB2312" w:eastAsia="仿宋_GB2312" w:cs="仿宋_GB2312"/>
          <w:sz w:val="32"/>
          <w:szCs w:val="32"/>
        </w:rPr>
      </w:pPr>
    </w:p>
    <w:p w14:paraId="4CE7A626">
      <w:pPr>
        <w:pStyle w:val="10"/>
        <w:ind w:firstLine="640"/>
        <w:rPr>
          <w:rFonts w:hint="eastAsia" w:ascii="仿宋_GB2312" w:hAnsi="仿宋_GB2312" w:eastAsia="仿宋_GB2312" w:cs="仿宋_GB2312"/>
          <w:sz w:val="32"/>
          <w:szCs w:val="32"/>
        </w:rPr>
      </w:pPr>
    </w:p>
    <w:p w14:paraId="6DDDD42C">
      <w:pPr>
        <w:pStyle w:val="10"/>
        <w:ind w:firstLine="640"/>
        <w:rPr>
          <w:rFonts w:hint="eastAsia" w:ascii="仿宋_GB2312" w:hAnsi="仿宋_GB2312" w:eastAsia="仿宋_GB2312" w:cs="仿宋_GB2312"/>
          <w:sz w:val="32"/>
          <w:szCs w:val="32"/>
        </w:rPr>
      </w:pPr>
    </w:p>
    <w:p w14:paraId="72218A0D">
      <w:pPr>
        <w:pStyle w:val="10"/>
        <w:ind w:firstLine="640"/>
        <w:rPr>
          <w:rFonts w:hint="eastAsia" w:ascii="仿宋_GB2312" w:hAnsi="仿宋_GB2312" w:eastAsia="仿宋_GB2312" w:cs="仿宋_GB2312"/>
          <w:sz w:val="32"/>
          <w:szCs w:val="32"/>
        </w:rPr>
      </w:pPr>
    </w:p>
    <w:p w14:paraId="0BBA0E7C">
      <w:pPr>
        <w:pStyle w:val="10"/>
        <w:ind w:firstLine="640"/>
        <w:rPr>
          <w:rFonts w:hint="eastAsia" w:ascii="仿宋_GB2312" w:hAnsi="仿宋_GB2312" w:eastAsia="仿宋_GB2312" w:cs="仿宋_GB2312"/>
          <w:sz w:val="32"/>
          <w:szCs w:val="32"/>
        </w:rPr>
      </w:pPr>
    </w:p>
    <w:p w14:paraId="7BCA64F7">
      <w:pPr>
        <w:pStyle w:val="10"/>
        <w:ind w:firstLine="640"/>
        <w:rPr>
          <w:rFonts w:hint="eastAsia" w:ascii="仿宋_GB2312" w:hAnsi="仿宋_GB2312" w:eastAsia="仿宋_GB2312" w:cs="仿宋_GB2312"/>
          <w:sz w:val="32"/>
          <w:szCs w:val="32"/>
        </w:rPr>
      </w:pPr>
    </w:p>
    <w:p w14:paraId="1E90413B">
      <w:pPr>
        <w:pStyle w:val="10"/>
        <w:ind w:firstLine="640"/>
        <w:rPr>
          <w:rFonts w:hint="eastAsia" w:ascii="仿宋_GB2312" w:hAnsi="仿宋_GB2312" w:eastAsia="仿宋_GB2312" w:cs="仿宋_GB2312"/>
          <w:sz w:val="32"/>
          <w:szCs w:val="32"/>
        </w:rPr>
      </w:pPr>
    </w:p>
    <w:p w14:paraId="1F2344AF">
      <w:pPr>
        <w:pStyle w:val="10"/>
        <w:ind w:firstLine="640"/>
        <w:rPr>
          <w:rFonts w:hint="eastAsia" w:ascii="仿宋_GB2312" w:hAnsi="仿宋_GB2312" w:eastAsia="仿宋_GB2312" w:cs="仿宋_GB2312"/>
          <w:sz w:val="32"/>
          <w:szCs w:val="32"/>
        </w:rPr>
      </w:pPr>
    </w:p>
    <w:p w14:paraId="270EB5A8">
      <w:pPr>
        <w:pStyle w:val="10"/>
        <w:ind w:firstLine="640"/>
        <w:rPr>
          <w:rFonts w:hint="eastAsia" w:ascii="仿宋_GB2312" w:hAnsi="仿宋_GB2312" w:eastAsia="仿宋_GB2312" w:cs="仿宋_GB2312"/>
          <w:sz w:val="32"/>
          <w:szCs w:val="32"/>
        </w:rPr>
      </w:pPr>
    </w:p>
    <w:p w14:paraId="7A5BBDD4">
      <w:pPr>
        <w:pStyle w:val="10"/>
        <w:ind w:firstLine="640"/>
        <w:rPr>
          <w:rFonts w:hint="eastAsia" w:ascii="仿宋_GB2312" w:hAnsi="仿宋_GB2312" w:eastAsia="仿宋_GB2312" w:cs="仿宋_GB2312"/>
          <w:sz w:val="32"/>
          <w:szCs w:val="32"/>
        </w:rPr>
      </w:pPr>
    </w:p>
    <w:p w14:paraId="2C8E5904">
      <w:pPr>
        <w:pStyle w:val="10"/>
        <w:ind w:firstLine="640"/>
        <w:rPr>
          <w:rFonts w:hint="eastAsia" w:ascii="仿宋_GB2312" w:hAnsi="仿宋_GB2312" w:eastAsia="仿宋_GB2312" w:cs="仿宋_GB2312"/>
          <w:sz w:val="32"/>
          <w:szCs w:val="32"/>
        </w:rPr>
      </w:pPr>
    </w:p>
    <w:p w14:paraId="6BF9B09D">
      <w:pPr>
        <w:pStyle w:val="10"/>
        <w:ind w:firstLine="640"/>
        <w:rPr>
          <w:rFonts w:hint="eastAsia" w:ascii="仿宋_GB2312" w:hAnsi="仿宋_GB2312" w:eastAsia="仿宋_GB2312" w:cs="仿宋_GB2312"/>
          <w:sz w:val="32"/>
          <w:szCs w:val="32"/>
        </w:rPr>
      </w:pPr>
    </w:p>
    <w:p w14:paraId="64F95FC8">
      <w:pPr>
        <w:pStyle w:val="10"/>
        <w:ind w:firstLine="640"/>
        <w:rPr>
          <w:rFonts w:hint="eastAsia" w:ascii="仿宋_GB2312" w:hAnsi="仿宋_GB2312" w:eastAsia="仿宋_GB2312" w:cs="仿宋_GB2312"/>
          <w:sz w:val="32"/>
          <w:szCs w:val="32"/>
        </w:rPr>
      </w:pPr>
    </w:p>
    <w:p w14:paraId="4DDC7976">
      <w:pPr>
        <w:pStyle w:val="10"/>
        <w:ind w:firstLine="640"/>
        <w:rPr>
          <w:rFonts w:hint="eastAsia" w:ascii="仿宋_GB2312" w:hAnsi="仿宋_GB2312" w:eastAsia="仿宋_GB2312" w:cs="仿宋_GB2312"/>
          <w:sz w:val="32"/>
          <w:szCs w:val="32"/>
        </w:rPr>
      </w:pPr>
    </w:p>
    <w:p w14:paraId="1E2C7CBC">
      <w:pPr>
        <w:pStyle w:val="10"/>
        <w:ind w:firstLine="640"/>
        <w:rPr>
          <w:rFonts w:hint="eastAsia" w:ascii="仿宋_GB2312" w:hAnsi="仿宋_GB2312" w:eastAsia="仿宋_GB2312" w:cs="仿宋_GB2312"/>
          <w:sz w:val="32"/>
          <w:szCs w:val="32"/>
        </w:rPr>
      </w:pPr>
    </w:p>
    <w:p w14:paraId="36A399CA">
      <w:pPr>
        <w:pStyle w:val="10"/>
        <w:ind w:firstLine="640"/>
        <w:rPr>
          <w:rFonts w:hint="eastAsia" w:ascii="仿宋_GB2312" w:hAnsi="仿宋_GB2312" w:eastAsia="仿宋_GB2312" w:cs="仿宋_GB2312"/>
          <w:sz w:val="32"/>
          <w:szCs w:val="32"/>
        </w:rPr>
        <w:sectPr>
          <w:footerReference r:id="rId5" w:type="default"/>
          <w:pgSz w:w="11907" w:h="16840"/>
          <w:pgMar w:top="1304" w:right="1418" w:bottom="1247" w:left="1418" w:header="851" w:footer="992" w:gutter="0"/>
          <w:pgNumType w:fmt="numberInDash"/>
          <w:cols w:space="720" w:num="1"/>
        </w:sectPr>
      </w:pPr>
    </w:p>
    <w:p w14:paraId="19098069">
      <w:pPr>
        <w:pStyle w:val="10"/>
        <w:spacing w:after="0" w:line="578" w:lineRule="exact"/>
        <w:ind w:left="0" w:leftChars="0" w:firstLine="0" w:firstLineChars="0"/>
        <w:jc w:val="center"/>
        <w:rPr>
          <w:rFonts w:hint="eastAsia" w:ascii="黑体" w:hAnsi="黑体" w:eastAsia="黑体" w:cs="黑体"/>
          <w:kern w:val="44"/>
          <w:sz w:val="32"/>
          <w:szCs w:val="32"/>
        </w:rPr>
      </w:pPr>
      <w:r>
        <w:rPr>
          <w:rFonts w:hint="eastAsia" w:ascii="黑体" w:hAnsi="黑体" w:eastAsia="黑体" w:cs="黑体"/>
          <w:kern w:val="44"/>
          <w:sz w:val="32"/>
          <w:szCs w:val="32"/>
        </w:rPr>
        <w:t>评审标准细则表</w:t>
      </w:r>
    </w:p>
    <w:tbl>
      <w:tblPr>
        <w:tblStyle w:val="11"/>
        <w:tblW w:w="1027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5"/>
        <w:gridCol w:w="1094"/>
        <w:gridCol w:w="1501"/>
        <w:gridCol w:w="6076"/>
        <w:gridCol w:w="958"/>
      </w:tblGrid>
      <w:tr w14:paraId="7DD8C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5" w:hRule="atLeast"/>
          <w:jc w:val="center"/>
        </w:trPr>
        <w:tc>
          <w:tcPr>
            <w:tcW w:w="645" w:type="dxa"/>
            <w:tcBorders>
              <w:top w:val="single" w:color="auto" w:sz="6" w:space="0"/>
              <w:left w:val="single" w:color="auto" w:sz="6" w:space="0"/>
              <w:bottom w:val="single" w:color="auto" w:sz="6" w:space="0"/>
              <w:right w:val="single" w:color="auto" w:sz="6" w:space="0"/>
            </w:tcBorders>
            <w:vAlign w:val="center"/>
          </w:tcPr>
          <w:p w14:paraId="1C900580">
            <w:pPr>
              <w:tabs>
                <w:tab w:val="left" w:pos="993"/>
                <w:tab w:val="left" w:pos="1701"/>
              </w:tabs>
              <w:spacing w:line="320" w:lineRule="exact"/>
              <w:jc w:val="center"/>
              <w:rPr>
                <w:rFonts w:ascii="Times New Roman" w:hAnsi="Times New Roman" w:eastAsia="仿宋_GB2312" w:cs="Times New Roman"/>
                <w:b/>
                <w:sz w:val="24"/>
              </w:rPr>
            </w:pPr>
            <w:r>
              <w:rPr>
                <w:rFonts w:ascii="Times New Roman" w:hAnsi="Times New Roman" w:eastAsia="仿宋_GB2312" w:cs="Times New Roman"/>
                <w:b/>
                <w:sz w:val="24"/>
              </w:rPr>
              <w:t>序号</w:t>
            </w:r>
          </w:p>
        </w:tc>
        <w:tc>
          <w:tcPr>
            <w:tcW w:w="1094" w:type="dxa"/>
            <w:tcBorders>
              <w:top w:val="single" w:color="auto" w:sz="6" w:space="0"/>
              <w:left w:val="single" w:color="auto" w:sz="6" w:space="0"/>
              <w:bottom w:val="single" w:color="auto" w:sz="6" w:space="0"/>
              <w:right w:val="single" w:color="auto" w:sz="6" w:space="0"/>
            </w:tcBorders>
            <w:vAlign w:val="center"/>
          </w:tcPr>
          <w:p w14:paraId="5C2FD2AB">
            <w:pPr>
              <w:tabs>
                <w:tab w:val="left" w:pos="993"/>
                <w:tab w:val="left" w:pos="1701"/>
              </w:tabs>
              <w:spacing w:line="320" w:lineRule="exact"/>
              <w:jc w:val="center"/>
              <w:rPr>
                <w:rFonts w:ascii="Times New Roman" w:hAnsi="Times New Roman" w:eastAsia="仿宋_GB2312" w:cs="Times New Roman"/>
                <w:b/>
                <w:sz w:val="24"/>
              </w:rPr>
            </w:pPr>
            <w:r>
              <w:rPr>
                <w:rFonts w:ascii="Times New Roman" w:hAnsi="Times New Roman" w:eastAsia="仿宋_GB2312" w:cs="Times New Roman"/>
                <w:b/>
                <w:sz w:val="24"/>
              </w:rPr>
              <w:t>评审</w:t>
            </w:r>
          </w:p>
          <w:p w14:paraId="31B1DBCA">
            <w:pPr>
              <w:tabs>
                <w:tab w:val="left" w:pos="993"/>
                <w:tab w:val="left" w:pos="1701"/>
              </w:tabs>
              <w:spacing w:line="320" w:lineRule="exact"/>
              <w:jc w:val="center"/>
              <w:rPr>
                <w:rFonts w:ascii="Times New Roman" w:hAnsi="Times New Roman" w:eastAsia="仿宋_GB2312" w:cs="Times New Roman"/>
                <w:b/>
                <w:sz w:val="24"/>
              </w:rPr>
            </w:pPr>
            <w:r>
              <w:rPr>
                <w:rFonts w:ascii="Times New Roman" w:hAnsi="Times New Roman" w:eastAsia="仿宋_GB2312" w:cs="Times New Roman"/>
                <w:b/>
                <w:sz w:val="24"/>
              </w:rPr>
              <w:t>条款</w:t>
            </w:r>
          </w:p>
        </w:tc>
        <w:tc>
          <w:tcPr>
            <w:tcW w:w="1501" w:type="dxa"/>
            <w:tcBorders>
              <w:top w:val="single" w:color="auto" w:sz="6" w:space="0"/>
              <w:left w:val="single" w:color="auto" w:sz="6" w:space="0"/>
              <w:bottom w:val="single" w:color="auto" w:sz="6" w:space="0"/>
              <w:right w:val="single" w:color="auto" w:sz="6" w:space="0"/>
            </w:tcBorders>
            <w:vAlign w:val="center"/>
          </w:tcPr>
          <w:p w14:paraId="0F499CEB">
            <w:pPr>
              <w:tabs>
                <w:tab w:val="left" w:pos="993"/>
                <w:tab w:val="left" w:pos="1701"/>
              </w:tabs>
              <w:spacing w:line="320" w:lineRule="exact"/>
              <w:jc w:val="center"/>
              <w:rPr>
                <w:rFonts w:ascii="Times New Roman" w:hAnsi="Times New Roman" w:eastAsia="仿宋_GB2312" w:cs="Times New Roman"/>
                <w:b/>
                <w:sz w:val="24"/>
              </w:rPr>
            </w:pPr>
            <w:r>
              <w:rPr>
                <w:rFonts w:ascii="Times New Roman" w:hAnsi="Times New Roman" w:eastAsia="仿宋_GB2312" w:cs="Times New Roman"/>
                <w:b/>
                <w:sz w:val="24"/>
              </w:rPr>
              <w:t>评审项</w:t>
            </w:r>
          </w:p>
        </w:tc>
        <w:tc>
          <w:tcPr>
            <w:tcW w:w="6076" w:type="dxa"/>
            <w:tcBorders>
              <w:top w:val="single" w:color="auto" w:sz="6" w:space="0"/>
              <w:left w:val="single" w:color="auto" w:sz="6" w:space="0"/>
              <w:bottom w:val="single" w:color="auto" w:sz="6" w:space="0"/>
              <w:right w:val="single" w:color="auto" w:sz="6" w:space="0"/>
            </w:tcBorders>
            <w:vAlign w:val="center"/>
          </w:tcPr>
          <w:p w14:paraId="16159042">
            <w:pPr>
              <w:tabs>
                <w:tab w:val="left" w:pos="993"/>
                <w:tab w:val="left" w:pos="1701"/>
              </w:tabs>
              <w:spacing w:line="320" w:lineRule="exact"/>
              <w:ind w:firstLine="482"/>
              <w:jc w:val="center"/>
              <w:rPr>
                <w:rFonts w:ascii="Times New Roman" w:hAnsi="Times New Roman" w:eastAsia="仿宋_GB2312" w:cs="Times New Roman"/>
                <w:b/>
                <w:sz w:val="24"/>
              </w:rPr>
            </w:pPr>
            <w:r>
              <w:rPr>
                <w:rFonts w:ascii="Times New Roman" w:hAnsi="Times New Roman" w:eastAsia="仿宋_GB2312" w:cs="Times New Roman"/>
                <w:b/>
                <w:sz w:val="24"/>
              </w:rPr>
              <w:t>评审细则</w:t>
            </w:r>
          </w:p>
        </w:tc>
        <w:tc>
          <w:tcPr>
            <w:tcW w:w="958" w:type="dxa"/>
            <w:tcBorders>
              <w:top w:val="single" w:color="auto" w:sz="6" w:space="0"/>
              <w:left w:val="single" w:color="auto" w:sz="6" w:space="0"/>
              <w:bottom w:val="single" w:color="auto" w:sz="6" w:space="0"/>
              <w:right w:val="single" w:color="auto" w:sz="6" w:space="0"/>
            </w:tcBorders>
            <w:vAlign w:val="center"/>
          </w:tcPr>
          <w:p w14:paraId="544BDFE2">
            <w:pPr>
              <w:tabs>
                <w:tab w:val="left" w:pos="993"/>
                <w:tab w:val="left" w:pos="1701"/>
              </w:tabs>
              <w:spacing w:line="320" w:lineRule="exact"/>
              <w:jc w:val="center"/>
              <w:rPr>
                <w:rFonts w:ascii="Times New Roman" w:hAnsi="Times New Roman" w:eastAsia="仿宋_GB2312" w:cs="Times New Roman"/>
                <w:b/>
                <w:sz w:val="24"/>
              </w:rPr>
            </w:pPr>
            <w:r>
              <w:rPr>
                <w:rFonts w:ascii="Times New Roman" w:hAnsi="Times New Roman" w:eastAsia="仿宋_GB2312" w:cs="Times New Roman"/>
                <w:b/>
                <w:sz w:val="24"/>
              </w:rPr>
              <w:t>得分</w:t>
            </w:r>
          </w:p>
        </w:tc>
      </w:tr>
      <w:tr w14:paraId="1EB0C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645" w:type="dxa"/>
            <w:vMerge w:val="restart"/>
            <w:tcBorders>
              <w:top w:val="single" w:color="auto" w:sz="6" w:space="0"/>
              <w:left w:val="single" w:color="auto" w:sz="6" w:space="0"/>
              <w:right w:val="single" w:color="auto" w:sz="6" w:space="0"/>
            </w:tcBorders>
            <w:vAlign w:val="center"/>
          </w:tcPr>
          <w:p w14:paraId="01122400">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1094" w:type="dxa"/>
            <w:vMerge w:val="restart"/>
            <w:tcBorders>
              <w:top w:val="single" w:color="auto" w:sz="6" w:space="0"/>
              <w:left w:val="single" w:color="auto" w:sz="6" w:space="0"/>
              <w:right w:val="single" w:color="auto" w:sz="6" w:space="0"/>
            </w:tcBorders>
            <w:vAlign w:val="center"/>
          </w:tcPr>
          <w:p w14:paraId="2FFBBC63">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商务</w:t>
            </w:r>
          </w:p>
          <w:p w14:paraId="6776F822">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部分</w:t>
            </w:r>
          </w:p>
          <w:p w14:paraId="5A1A1158">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w:t>
            </w:r>
            <w:r>
              <w:rPr>
                <w:rFonts w:hint="eastAsia" w:ascii="Times New Roman" w:hAnsi="Times New Roman" w:eastAsia="仿宋_GB2312" w:cs="Times New Roman"/>
                <w:sz w:val="24"/>
                <w:lang w:val="en-US" w:eastAsia="zh-CN"/>
              </w:rPr>
              <w:t>27</w:t>
            </w:r>
            <w:r>
              <w:rPr>
                <w:rFonts w:ascii="Times New Roman" w:hAnsi="Times New Roman" w:eastAsia="仿宋_GB2312" w:cs="Times New Roman"/>
                <w:sz w:val="24"/>
              </w:rPr>
              <w:t>分</w:t>
            </w:r>
            <w:r>
              <w:rPr>
                <w:rFonts w:hint="eastAsia" w:ascii="Times New Roman" w:hAnsi="Times New Roman" w:eastAsia="仿宋_GB2312" w:cs="Times New Roman"/>
                <w:sz w:val="24"/>
              </w:rPr>
              <w:t>）</w:t>
            </w:r>
          </w:p>
          <w:p w14:paraId="35184F29">
            <w:pPr>
              <w:spacing w:line="360" w:lineRule="exact"/>
              <w:ind w:firstLine="480"/>
              <w:jc w:val="center"/>
              <w:rPr>
                <w:rFonts w:ascii="Times New Roman" w:hAnsi="Times New Roman" w:eastAsia="仿宋_GB2312" w:cs="Times New Roman"/>
                <w:sz w:val="24"/>
              </w:rPr>
            </w:pPr>
          </w:p>
        </w:tc>
        <w:tc>
          <w:tcPr>
            <w:tcW w:w="1501" w:type="dxa"/>
            <w:tcBorders>
              <w:top w:val="single" w:color="auto" w:sz="6" w:space="0"/>
              <w:left w:val="single" w:color="auto" w:sz="6" w:space="0"/>
              <w:bottom w:val="single" w:color="auto" w:sz="6" w:space="0"/>
              <w:right w:val="single" w:color="auto" w:sz="6" w:space="0"/>
            </w:tcBorders>
            <w:vAlign w:val="center"/>
          </w:tcPr>
          <w:p w14:paraId="00A1AAD8">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类似项目</w:t>
            </w:r>
          </w:p>
          <w:p w14:paraId="5523D6DE">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业</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绩</w:t>
            </w:r>
          </w:p>
          <w:p w14:paraId="5AF6D78B">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w:t>
            </w:r>
            <w:r>
              <w:rPr>
                <w:rFonts w:hint="eastAsia" w:ascii="Times New Roman" w:hAnsi="Times New Roman" w:eastAsia="仿宋_GB2312" w:cs="Times New Roman"/>
                <w:sz w:val="24"/>
                <w:lang w:val="en-US" w:eastAsia="zh-CN"/>
              </w:rPr>
              <w:t>3</w:t>
            </w:r>
            <w:r>
              <w:rPr>
                <w:rFonts w:ascii="Times New Roman" w:hAnsi="Times New Roman" w:eastAsia="仿宋_GB2312" w:cs="Times New Roman"/>
                <w:sz w:val="24"/>
              </w:rPr>
              <w:t>分）</w:t>
            </w:r>
          </w:p>
        </w:tc>
        <w:tc>
          <w:tcPr>
            <w:tcW w:w="6076" w:type="dxa"/>
            <w:tcBorders>
              <w:top w:val="single" w:color="auto" w:sz="6" w:space="0"/>
              <w:left w:val="single" w:color="auto" w:sz="6" w:space="0"/>
              <w:bottom w:val="single" w:color="auto" w:sz="6" w:space="0"/>
              <w:right w:val="single" w:color="auto" w:sz="6" w:space="0"/>
            </w:tcBorders>
            <w:vAlign w:val="center"/>
          </w:tcPr>
          <w:p w14:paraId="4AB7CD15">
            <w:pPr>
              <w:spacing w:line="360" w:lineRule="exact"/>
              <w:ind w:firstLine="480"/>
              <w:jc w:val="center"/>
              <w:rPr>
                <w:rFonts w:ascii="Times New Roman" w:hAnsi="Times New Roman" w:eastAsia="仿宋_GB2312" w:cs="Times New Roman"/>
                <w:color w:val="000000" w:themeColor="text1"/>
                <w:sz w:val="24"/>
                <w:lang w:val="ru-RU"/>
                <w14:textFill>
                  <w14:solidFill>
                    <w14:schemeClr w14:val="tx1"/>
                  </w14:solidFill>
                </w14:textFill>
              </w:rPr>
            </w:pPr>
            <w:r>
              <w:rPr>
                <w:rFonts w:ascii="Times New Roman" w:hAnsi="Times New Roman" w:eastAsia="仿宋_GB2312" w:cs="Times New Roman"/>
                <w:color w:val="000000" w:themeColor="text1"/>
                <w:sz w:val="24"/>
                <w:lang w:val="ru-RU"/>
                <w14:textFill>
                  <w14:solidFill>
                    <w14:schemeClr w14:val="tx1"/>
                  </w14:solidFill>
                </w14:textFill>
              </w:rPr>
              <w:t>近三年（202</w:t>
            </w:r>
            <w:r>
              <w:rPr>
                <w:rFonts w:hint="eastAsia" w:ascii="Times New Roman" w:hAnsi="Times New Roman" w:eastAsia="仿宋_GB2312" w:cs="Times New Roman"/>
                <w:color w:val="000000" w:themeColor="text1"/>
                <w:sz w:val="24"/>
                <w:lang w:val="en-US" w:eastAsia="zh-CN"/>
                <w14:textFill>
                  <w14:solidFill>
                    <w14:schemeClr w14:val="tx1"/>
                  </w14:solidFill>
                </w14:textFill>
              </w:rPr>
              <w:t>3</w:t>
            </w:r>
            <w:r>
              <w:rPr>
                <w:rFonts w:ascii="Times New Roman" w:hAnsi="Times New Roman" w:eastAsia="仿宋_GB2312" w:cs="Times New Roman"/>
                <w:color w:val="000000" w:themeColor="text1"/>
                <w:sz w:val="24"/>
                <w:lang w:val="ru-RU"/>
                <w14:textFill>
                  <w14:solidFill>
                    <w14:schemeClr w14:val="tx1"/>
                  </w14:solidFill>
                </w14:textFill>
              </w:rPr>
              <w:t>年至今，以合同签订时间为准）供应商应具有水利行业相关类似业绩，</w:t>
            </w:r>
            <w:r>
              <w:rPr>
                <w:rFonts w:ascii="Times New Roman" w:hAnsi="Times New Roman" w:eastAsia="仿宋_GB2312" w:cs="Times New Roman"/>
                <w:color w:val="000000" w:themeColor="text1"/>
                <w:sz w:val="24"/>
                <w14:textFill>
                  <w14:solidFill>
                    <w14:schemeClr w14:val="tx1"/>
                  </w14:solidFill>
                </w14:textFill>
              </w:rPr>
              <w:t>1个</w:t>
            </w:r>
            <w:r>
              <w:rPr>
                <w:rFonts w:ascii="Times New Roman" w:hAnsi="Times New Roman" w:eastAsia="仿宋_GB2312" w:cs="Times New Roman"/>
                <w:color w:val="000000" w:themeColor="text1"/>
                <w:sz w:val="24"/>
                <w:lang w:val="ru-RU"/>
                <w14:textFill>
                  <w14:solidFill>
                    <w14:schemeClr w14:val="tx1"/>
                  </w14:solidFill>
                </w14:textFill>
              </w:rPr>
              <w:t>得</w:t>
            </w:r>
            <w:r>
              <w:rPr>
                <w:rFonts w:hint="eastAsia" w:ascii="Times New Roman" w:hAnsi="Times New Roman" w:eastAsia="仿宋_GB2312" w:cs="Times New Roman"/>
                <w:color w:val="000000" w:themeColor="text1"/>
                <w:sz w:val="24"/>
                <w:lang w:val="en-US" w:eastAsia="zh-CN"/>
                <w14:textFill>
                  <w14:solidFill>
                    <w14:schemeClr w14:val="tx1"/>
                  </w14:solidFill>
                </w14:textFill>
              </w:rPr>
              <w:t>1</w:t>
            </w:r>
            <w:r>
              <w:rPr>
                <w:rFonts w:ascii="Times New Roman" w:hAnsi="Times New Roman" w:eastAsia="仿宋_GB2312" w:cs="Times New Roman"/>
                <w:color w:val="000000" w:themeColor="text1"/>
                <w:sz w:val="24"/>
                <w:lang w:val="ru-RU"/>
                <w14:textFill>
                  <w14:solidFill>
                    <w14:schemeClr w14:val="tx1"/>
                  </w14:solidFill>
                </w14:textFill>
              </w:rPr>
              <w:t>分，</w:t>
            </w:r>
            <w:r>
              <w:rPr>
                <w:rFonts w:ascii="Times New Roman" w:hAnsi="Times New Roman" w:eastAsia="仿宋_GB2312" w:cs="Times New Roman"/>
                <w:color w:val="000000" w:themeColor="text1"/>
                <w:sz w:val="24"/>
                <w14:textFill>
                  <w14:solidFill>
                    <w14:schemeClr w14:val="tx1"/>
                  </w14:solidFill>
                </w14:textFill>
              </w:rPr>
              <w:t>最高</w:t>
            </w:r>
            <w:r>
              <w:rPr>
                <w:rFonts w:hint="eastAsia" w:ascii="Times New Roman" w:hAnsi="Times New Roman" w:eastAsia="仿宋_GB2312" w:cs="Times New Roman"/>
                <w:color w:val="000000" w:themeColor="text1"/>
                <w:sz w:val="24"/>
                <w:lang w:val="en-US" w:eastAsia="zh-CN"/>
                <w14:textFill>
                  <w14:solidFill>
                    <w14:schemeClr w14:val="tx1"/>
                  </w14:solidFill>
                </w14:textFill>
              </w:rPr>
              <w:t>3</w:t>
            </w:r>
            <w:r>
              <w:rPr>
                <w:rFonts w:ascii="Times New Roman" w:hAnsi="Times New Roman" w:eastAsia="仿宋_GB2312" w:cs="Times New Roman"/>
                <w:color w:val="000000" w:themeColor="text1"/>
                <w:sz w:val="24"/>
                <w14:textFill>
                  <w14:solidFill>
                    <w14:schemeClr w14:val="tx1"/>
                  </w14:solidFill>
                </w14:textFill>
              </w:rPr>
              <w:t>分</w:t>
            </w:r>
            <w:r>
              <w:rPr>
                <w:rFonts w:ascii="Times New Roman" w:hAnsi="Times New Roman" w:eastAsia="仿宋_GB2312" w:cs="Times New Roman"/>
                <w:color w:val="000000" w:themeColor="text1"/>
                <w:sz w:val="24"/>
                <w:lang w:val="ru-RU"/>
                <w14:textFill>
                  <w14:solidFill>
                    <w14:schemeClr w14:val="tx1"/>
                  </w14:solidFill>
                </w14:textFill>
              </w:rPr>
              <w:t>。</w:t>
            </w:r>
          </w:p>
        </w:tc>
        <w:tc>
          <w:tcPr>
            <w:tcW w:w="958" w:type="dxa"/>
            <w:tcBorders>
              <w:top w:val="single" w:color="auto" w:sz="6" w:space="0"/>
              <w:left w:val="single" w:color="auto" w:sz="6" w:space="0"/>
              <w:bottom w:val="single" w:color="auto" w:sz="6" w:space="0"/>
              <w:right w:val="single" w:color="auto" w:sz="6" w:space="0"/>
            </w:tcBorders>
            <w:vAlign w:val="center"/>
          </w:tcPr>
          <w:p w14:paraId="08437374">
            <w:pPr>
              <w:spacing w:line="360" w:lineRule="exact"/>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0-</w:t>
            </w:r>
            <w:r>
              <w:rPr>
                <w:rFonts w:hint="eastAsia" w:ascii="Times New Roman" w:hAnsi="Times New Roman" w:eastAsia="仿宋_GB2312" w:cs="Times New Roman"/>
                <w:sz w:val="24"/>
                <w:lang w:val="en-US" w:eastAsia="zh-CN"/>
              </w:rPr>
              <w:t>3</w:t>
            </w:r>
            <w:r>
              <w:rPr>
                <w:rFonts w:ascii="Times New Roman" w:hAnsi="Times New Roman" w:eastAsia="仿宋_GB2312" w:cs="Times New Roman"/>
                <w:sz w:val="24"/>
                <w:lang w:val="ru-RU"/>
              </w:rPr>
              <w:t>分</w:t>
            </w:r>
          </w:p>
        </w:tc>
      </w:tr>
      <w:tr w14:paraId="2BD82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05" w:hRule="atLeast"/>
          <w:jc w:val="center"/>
        </w:trPr>
        <w:tc>
          <w:tcPr>
            <w:tcW w:w="645" w:type="dxa"/>
            <w:vMerge w:val="continue"/>
            <w:tcBorders>
              <w:left w:val="single" w:color="auto" w:sz="6" w:space="0"/>
              <w:bottom w:val="single" w:color="auto" w:sz="6" w:space="0"/>
              <w:right w:val="single" w:color="auto" w:sz="6" w:space="0"/>
            </w:tcBorders>
            <w:vAlign w:val="center"/>
          </w:tcPr>
          <w:p w14:paraId="7FD9046A">
            <w:pPr>
              <w:spacing w:line="360" w:lineRule="exact"/>
              <w:ind w:firstLine="480"/>
              <w:jc w:val="center"/>
              <w:rPr>
                <w:rFonts w:ascii="Times New Roman" w:hAnsi="Times New Roman" w:eastAsia="仿宋_GB2312" w:cs="Times New Roman"/>
                <w:sz w:val="24"/>
              </w:rPr>
            </w:pPr>
          </w:p>
        </w:tc>
        <w:tc>
          <w:tcPr>
            <w:tcW w:w="1094" w:type="dxa"/>
            <w:vMerge w:val="continue"/>
            <w:tcBorders>
              <w:left w:val="single" w:color="auto" w:sz="6" w:space="0"/>
              <w:bottom w:val="single" w:color="auto" w:sz="6" w:space="0"/>
              <w:right w:val="single" w:color="auto" w:sz="6" w:space="0"/>
            </w:tcBorders>
            <w:vAlign w:val="center"/>
          </w:tcPr>
          <w:p w14:paraId="438B585C">
            <w:pPr>
              <w:spacing w:line="360" w:lineRule="exact"/>
              <w:ind w:firstLine="480"/>
              <w:jc w:val="center"/>
              <w:rPr>
                <w:rFonts w:ascii="Times New Roman" w:hAnsi="Times New Roman" w:eastAsia="仿宋_GB2312" w:cs="Times New Roman"/>
                <w:sz w:val="24"/>
              </w:rPr>
            </w:pPr>
          </w:p>
        </w:tc>
        <w:tc>
          <w:tcPr>
            <w:tcW w:w="1501" w:type="dxa"/>
            <w:tcBorders>
              <w:top w:val="single" w:color="auto" w:sz="6" w:space="0"/>
              <w:left w:val="single" w:color="auto" w:sz="6" w:space="0"/>
              <w:bottom w:val="single" w:color="auto" w:sz="6" w:space="0"/>
              <w:right w:val="single" w:color="auto" w:sz="6" w:space="0"/>
            </w:tcBorders>
            <w:vAlign w:val="center"/>
          </w:tcPr>
          <w:p w14:paraId="53C99305">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对磋商文件响应程度</w:t>
            </w:r>
            <w:r>
              <w:rPr>
                <w:rFonts w:hint="eastAsia" w:ascii="Times New Roman" w:hAnsi="Times New Roman" w:eastAsia="仿宋_GB2312" w:cs="Times New Roman"/>
                <w:sz w:val="24"/>
              </w:rPr>
              <w:t>（</w:t>
            </w:r>
            <w:r>
              <w:rPr>
                <w:rFonts w:ascii="Times New Roman" w:hAnsi="Times New Roman" w:eastAsia="仿宋_GB2312" w:cs="Times New Roman"/>
                <w:sz w:val="24"/>
              </w:rPr>
              <w:t>2</w:t>
            </w:r>
            <w:r>
              <w:rPr>
                <w:rFonts w:hint="eastAsia" w:ascii="Times New Roman" w:hAnsi="Times New Roman" w:eastAsia="仿宋_GB2312" w:cs="Times New Roman"/>
                <w:sz w:val="24"/>
                <w:lang w:val="en-US" w:eastAsia="zh-CN"/>
              </w:rPr>
              <w:t>4</w:t>
            </w:r>
            <w:r>
              <w:rPr>
                <w:rFonts w:ascii="Times New Roman" w:hAnsi="Times New Roman" w:eastAsia="仿宋_GB2312" w:cs="Times New Roman"/>
                <w:sz w:val="24"/>
              </w:rPr>
              <w:t>分）</w:t>
            </w:r>
          </w:p>
        </w:tc>
        <w:tc>
          <w:tcPr>
            <w:tcW w:w="6076" w:type="dxa"/>
            <w:tcBorders>
              <w:top w:val="single" w:color="auto" w:sz="6" w:space="0"/>
              <w:left w:val="single" w:color="auto" w:sz="6" w:space="0"/>
              <w:bottom w:val="single" w:color="auto" w:sz="6" w:space="0"/>
              <w:right w:val="single" w:color="auto" w:sz="6" w:space="0"/>
            </w:tcBorders>
            <w:vAlign w:val="center"/>
          </w:tcPr>
          <w:p w14:paraId="7719F93C">
            <w:pPr>
              <w:spacing w:line="360" w:lineRule="exact"/>
              <w:ind w:firstLine="480"/>
              <w:jc w:val="center"/>
              <w:rPr>
                <w:rFonts w:ascii="Times New Roman" w:hAnsi="Times New Roman" w:eastAsia="仿宋_GB2312" w:cs="Times New Roman"/>
                <w:color w:val="000000" w:themeColor="text1"/>
                <w:sz w:val="24"/>
                <w:lang w:val="ru-RU"/>
                <w14:textFill>
                  <w14:solidFill>
                    <w14:schemeClr w14:val="tx1"/>
                  </w14:solidFill>
                </w14:textFill>
              </w:rPr>
            </w:pPr>
            <w:r>
              <w:rPr>
                <w:rFonts w:hint="eastAsia" w:ascii="Times New Roman" w:hAnsi="Times New Roman" w:eastAsia="仿宋_GB2312" w:cs="Times New Roman"/>
                <w:color w:val="000000" w:themeColor="text1"/>
                <w:sz w:val="24"/>
                <w:lang w:val="ru-RU"/>
                <w14:textFill>
                  <w14:solidFill>
                    <w14:schemeClr w14:val="tx1"/>
                  </w14:solidFill>
                </w14:textFill>
              </w:rPr>
              <w:t>响应文件符合磋商文件要求，内容齐全、编制规范、结构清晰、装订整齐。供应商应参照响应文件格式提供响应文件，响应文件中共包括12个附件，每缺一项扣2分，每有一处有缺陷或不足扣1分，未提供的不得分。</w:t>
            </w:r>
            <w:r>
              <w:rPr>
                <w:rFonts w:ascii="Times New Roman" w:hAnsi="Times New Roman" w:eastAsia="仿宋_GB2312" w:cs="Times New Roman"/>
                <w:color w:val="000000" w:themeColor="text1"/>
                <w:sz w:val="24"/>
                <w:lang w:val="ru-RU"/>
                <w14:textFill>
                  <w14:solidFill>
                    <w14:schemeClr w14:val="tx1"/>
                  </w14:solidFill>
                </w14:textFill>
              </w:rPr>
              <w:t>。</w:t>
            </w:r>
          </w:p>
        </w:tc>
        <w:tc>
          <w:tcPr>
            <w:tcW w:w="958" w:type="dxa"/>
            <w:tcBorders>
              <w:top w:val="single" w:color="auto" w:sz="6" w:space="0"/>
              <w:left w:val="single" w:color="auto" w:sz="6" w:space="0"/>
              <w:bottom w:val="single" w:color="auto" w:sz="6" w:space="0"/>
              <w:right w:val="single" w:color="auto" w:sz="6" w:space="0"/>
            </w:tcBorders>
            <w:vAlign w:val="center"/>
          </w:tcPr>
          <w:p w14:paraId="3A7B6B82">
            <w:pPr>
              <w:spacing w:line="360" w:lineRule="exact"/>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0-</w:t>
            </w:r>
            <w:r>
              <w:rPr>
                <w:rFonts w:ascii="Times New Roman" w:hAnsi="Times New Roman" w:eastAsia="仿宋_GB2312" w:cs="Times New Roman"/>
                <w:sz w:val="24"/>
              </w:rPr>
              <w:t>2</w:t>
            </w:r>
            <w:r>
              <w:rPr>
                <w:rFonts w:hint="eastAsia" w:ascii="Times New Roman" w:hAnsi="Times New Roman" w:eastAsia="仿宋_GB2312" w:cs="Times New Roman"/>
                <w:sz w:val="24"/>
                <w:lang w:val="en-US" w:eastAsia="zh-CN"/>
              </w:rPr>
              <w:t>4</w:t>
            </w:r>
            <w:r>
              <w:rPr>
                <w:rFonts w:ascii="Times New Roman" w:hAnsi="Times New Roman" w:eastAsia="仿宋_GB2312" w:cs="Times New Roman"/>
                <w:sz w:val="24"/>
                <w:lang w:val="ru-RU"/>
              </w:rPr>
              <w:t>分</w:t>
            </w:r>
          </w:p>
        </w:tc>
      </w:tr>
      <w:tr w14:paraId="6C8B3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0" w:hRule="atLeast"/>
          <w:jc w:val="center"/>
        </w:trPr>
        <w:tc>
          <w:tcPr>
            <w:tcW w:w="645" w:type="dxa"/>
            <w:tcBorders>
              <w:top w:val="single" w:color="auto" w:sz="6" w:space="0"/>
              <w:left w:val="single" w:color="auto" w:sz="6" w:space="0"/>
              <w:right w:val="single" w:color="auto" w:sz="6" w:space="0"/>
            </w:tcBorders>
            <w:vAlign w:val="center"/>
          </w:tcPr>
          <w:p w14:paraId="1E2A5AAE">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1094" w:type="dxa"/>
            <w:tcBorders>
              <w:top w:val="single" w:color="auto" w:sz="6" w:space="0"/>
              <w:left w:val="single" w:color="auto" w:sz="6" w:space="0"/>
              <w:right w:val="single" w:color="auto" w:sz="6" w:space="0"/>
            </w:tcBorders>
            <w:vAlign w:val="center"/>
          </w:tcPr>
          <w:p w14:paraId="59E59037">
            <w:pPr>
              <w:spacing w:line="360" w:lineRule="exact"/>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技术</w:t>
            </w:r>
          </w:p>
          <w:p w14:paraId="56DA6100">
            <w:pPr>
              <w:spacing w:line="360" w:lineRule="exact"/>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部分</w:t>
            </w:r>
          </w:p>
          <w:p w14:paraId="12C820BC">
            <w:pPr>
              <w:spacing w:line="360" w:lineRule="exact"/>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w:t>
            </w:r>
            <w:r>
              <w:rPr>
                <w:rFonts w:hint="eastAsia" w:ascii="Times New Roman" w:hAnsi="Times New Roman" w:eastAsia="仿宋_GB2312" w:cs="Times New Roman"/>
                <w:sz w:val="24"/>
                <w:lang w:val="en-US" w:eastAsia="zh-CN"/>
              </w:rPr>
              <w:t>48</w:t>
            </w:r>
            <w:r>
              <w:rPr>
                <w:rFonts w:ascii="Times New Roman" w:hAnsi="Times New Roman" w:eastAsia="仿宋_GB2312" w:cs="Times New Roman"/>
                <w:sz w:val="24"/>
                <w:lang w:val="ru-RU"/>
              </w:rPr>
              <w:t>分）</w:t>
            </w:r>
          </w:p>
        </w:tc>
        <w:tc>
          <w:tcPr>
            <w:tcW w:w="1501" w:type="dxa"/>
            <w:tcBorders>
              <w:top w:val="single" w:color="auto" w:sz="6" w:space="0"/>
              <w:left w:val="single" w:color="auto" w:sz="6" w:space="0"/>
              <w:bottom w:val="single" w:color="auto" w:sz="6" w:space="0"/>
              <w:right w:val="single" w:color="auto" w:sz="6" w:space="0"/>
            </w:tcBorders>
            <w:vAlign w:val="center"/>
          </w:tcPr>
          <w:p w14:paraId="229C76B5">
            <w:pPr>
              <w:spacing w:line="360" w:lineRule="exact"/>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编制方案（</w:t>
            </w:r>
            <w:r>
              <w:rPr>
                <w:rFonts w:hint="eastAsia" w:ascii="Times New Roman" w:hAnsi="Times New Roman" w:eastAsia="仿宋_GB2312" w:cs="Times New Roman"/>
                <w:sz w:val="24"/>
                <w:lang w:val="en-US" w:eastAsia="zh-CN"/>
              </w:rPr>
              <w:t>48</w:t>
            </w:r>
            <w:r>
              <w:rPr>
                <w:rFonts w:ascii="Times New Roman" w:hAnsi="Times New Roman" w:eastAsia="仿宋_GB2312" w:cs="Times New Roman"/>
                <w:sz w:val="24"/>
                <w:lang w:val="ru-RU"/>
              </w:rPr>
              <w:t>分）</w:t>
            </w:r>
          </w:p>
        </w:tc>
        <w:tc>
          <w:tcPr>
            <w:tcW w:w="6076" w:type="dxa"/>
            <w:tcBorders>
              <w:top w:val="single" w:color="auto" w:sz="6" w:space="0"/>
              <w:left w:val="single" w:color="auto" w:sz="6" w:space="0"/>
              <w:bottom w:val="single" w:color="auto" w:sz="6" w:space="0"/>
              <w:right w:val="single" w:color="auto" w:sz="6" w:space="0"/>
            </w:tcBorders>
            <w:vAlign w:val="center"/>
          </w:tcPr>
          <w:p w14:paraId="6782D03F">
            <w:pPr>
              <w:spacing w:line="360" w:lineRule="exact"/>
              <w:jc w:val="left"/>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（一）</w:t>
            </w:r>
            <w:r>
              <w:rPr>
                <w:rFonts w:ascii="Times New Roman" w:hAnsi="Times New Roman" w:eastAsia="仿宋_GB2312" w:cs="Times New Roman"/>
                <w:color w:val="000000" w:themeColor="text1"/>
                <w:sz w:val="24"/>
                <w14:textFill>
                  <w14:solidFill>
                    <w14:schemeClr w14:val="tx1"/>
                  </w14:solidFill>
                </w14:textFill>
              </w:rPr>
              <w:t>度汛方案（1</w:t>
            </w:r>
            <w:r>
              <w:rPr>
                <w:rFonts w:hint="eastAsia" w:ascii="Times New Roman" w:hAnsi="Times New Roman" w:eastAsia="仿宋_GB2312" w:cs="Times New Roman"/>
                <w:color w:val="000000" w:themeColor="text1"/>
                <w:sz w:val="24"/>
                <w:lang w:val="en-US" w:eastAsia="zh-CN"/>
                <w14:textFill>
                  <w14:solidFill>
                    <w14:schemeClr w14:val="tx1"/>
                  </w14:solidFill>
                </w14:textFill>
              </w:rPr>
              <w:t>2</w:t>
            </w:r>
            <w:r>
              <w:rPr>
                <w:rFonts w:ascii="Times New Roman" w:hAnsi="Times New Roman" w:eastAsia="仿宋_GB2312" w:cs="Times New Roman"/>
                <w:color w:val="000000" w:themeColor="text1"/>
                <w:sz w:val="24"/>
                <w14:textFill>
                  <w14:solidFill>
                    <w14:schemeClr w14:val="tx1"/>
                  </w14:solidFill>
                </w14:textFill>
              </w:rPr>
              <w:t>分):</w:t>
            </w:r>
          </w:p>
          <w:p w14:paraId="502E81EF">
            <w:pPr>
              <w:spacing w:line="360" w:lineRule="exact"/>
              <w:ind w:firstLine="480"/>
              <w:jc w:val="left"/>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lang w:val="ru-RU"/>
                <w14:textFill>
                  <w14:solidFill>
                    <w14:schemeClr w14:val="tx1"/>
                  </w14:solidFill>
                </w14:textFill>
              </w:rPr>
              <w:t>至少应包含：（1）编制依据；（2）工程概述及水文地质资料；（3）工程面貌；（4）度汛要求及度汛标准；（5）度汛组织机构及职责和度汛保障；（6）风险识别及应急处理等。供应商根据本项目具体实际情况进行分析及制定方案，方案中上述内容每缺一项扣2分，每有一处有缺陷或不足扣1分，未提供的不得分</w:t>
            </w:r>
            <w:r>
              <w:rPr>
                <w:rFonts w:ascii="Times New Roman" w:hAnsi="Times New Roman" w:eastAsia="仿宋_GB2312" w:cs="Times New Roman"/>
                <w:color w:val="000000" w:themeColor="text1"/>
                <w:sz w:val="24"/>
                <w:lang w:val="ru-RU"/>
                <w14:textFill>
                  <w14:solidFill>
                    <w14:schemeClr w14:val="tx1"/>
                  </w14:solidFill>
                </w14:textFill>
              </w:rPr>
              <w:t>。</w:t>
            </w:r>
          </w:p>
          <w:p w14:paraId="233B7DB3">
            <w:pPr>
              <w:spacing w:line="360" w:lineRule="exact"/>
              <w:jc w:val="left"/>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（二）</w:t>
            </w:r>
            <w:r>
              <w:rPr>
                <w:rFonts w:ascii="Times New Roman" w:hAnsi="Times New Roman" w:eastAsia="仿宋_GB2312" w:cs="Times New Roman"/>
                <w:color w:val="000000" w:themeColor="text1"/>
                <w:sz w:val="24"/>
                <w14:textFill>
                  <w14:solidFill>
                    <w14:schemeClr w14:val="tx1"/>
                  </w14:solidFill>
                </w14:textFill>
              </w:rPr>
              <w:t>防洪抢险应急预案（12分):</w:t>
            </w:r>
          </w:p>
          <w:p w14:paraId="31FB8FE5">
            <w:pPr>
              <w:spacing w:line="360" w:lineRule="exact"/>
              <w:ind w:firstLine="480"/>
              <w:jc w:val="left"/>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lang w:val="ru-RU"/>
                <w14:textFill>
                  <w14:solidFill>
                    <w14:schemeClr w14:val="tx1"/>
                  </w14:solidFill>
                </w14:textFill>
              </w:rPr>
              <w:t>至少应包含：（1）编制依据；（2）工程概述及水文地质资料；（3）施工期站网布设及洪水预报方案；（4）工程主要防洪问题和工程险情分析；（5）应急保障及应急预案；（6）险情抢护分析及措施等。供应商根据本项目具体实际情况进行分析及制定方案，方案中上述内容每缺一项扣2分，每有一处有缺陷或不足扣1分，未提供的不得分</w:t>
            </w:r>
            <w:r>
              <w:rPr>
                <w:rFonts w:ascii="Times New Roman" w:hAnsi="Times New Roman" w:eastAsia="仿宋_GB2312" w:cs="Times New Roman"/>
                <w:color w:val="000000" w:themeColor="text1"/>
                <w:sz w:val="24"/>
                <w:lang w:val="ru-RU"/>
                <w14:textFill>
                  <w14:solidFill>
                    <w14:schemeClr w14:val="tx1"/>
                  </w14:solidFill>
                </w14:textFill>
              </w:rPr>
              <w:t>。</w:t>
            </w:r>
          </w:p>
          <w:p w14:paraId="1ACC06F5">
            <w:pPr>
              <w:spacing w:line="360" w:lineRule="exact"/>
              <w:jc w:val="left"/>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（三）</w:t>
            </w:r>
            <w:r>
              <w:rPr>
                <w:rFonts w:ascii="Times New Roman" w:hAnsi="Times New Roman" w:eastAsia="仿宋_GB2312" w:cs="Times New Roman"/>
                <w:color w:val="000000" w:themeColor="text1"/>
                <w:sz w:val="24"/>
                <w14:textFill>
                  <w14:solidFill>
                    <w14:schemeClr w14:val="tx1"/>
                  </w14:solidFill>
                </w14:textFill>
              </w:rPr>
              <w:t>超标准洪水应急预案（12分):</w:t>
            </w:r>
          </w:p>
          <w:p w14:paraId="7584A2D4">
            <w:pPr>
              <w:spacing w:line="360" w:lineRule="exact"/>
              <w:ind w:firstLine="480"/>
              <w:jc w:val="left"/>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lang w:val="ru-RU"/>
                <w14:textFill>
                  <w14:solidFill>
                    <w14:schemeClr w14:val="tx1"/>
                  </w14:solidFill>
                </w14:textFill>
              </w:rPr>
              <w:t>至少应包含：（1）编制依据；（2）工程概述及水文地质资料；（3）工程建设概况及202</w:t>
            </w:r>
            <w:r>
              <w:rPr>
                <w:rFonts w:hint="eastAsia" w:ascii="Times New Roman" w:hAnsi="Times New Roman" w:eastAsia="仿宋_GB2312" w:cs="Times New Roman"/>
                <w:color w:val="000000" w:themeColor="text1"/>
                <w:sz w:val="24"/>
                <w:lang w:val="en-US" w:eastAsia="zh-CN"/>
                <w14:textFill>
                  <w14:solidFill>
                    <w14:schemeClr w14:val="tx1"/>
                  </w14:solidFill>
                </w14:textFill>
              </w:rPr>
              <w:t>6</w:t>
            </w:r>
            <w:r>
              <w:rPr>
                <w:rFonts w:hint="eastAsia" w:ascii="Times New Roman" w:hAnsi="Times New Roman" w:eastAsia="仿宋_GB2312" w:cs="Times New Roman"/>
                <w:color w:val="000000" w:themeColor="text1"/>
                <w:sz w:val="24"/>
                <w:lang w:val="ru-RU"/>
                <w14:textFill>
                  <w14:solidFill>
                    <w14:schemeClr w14:val="tx1"/>
                  </w14:solidFill>
                </w14:textFill>
              </w:rPr>
              <w:t>年汛前工程形象面貌要求；（4）应急演练和应急组织机构及职责；（5）超标准洪水影响分析；（6）应急响应及抢险措施和应急保障等。供应商根据本项目具体实际情况进行分析及制定方案，方案中上述内容每缺一项扣2分，每有一处有缺陷或不足扣1分，未提供的不得分</w:t>
            </w:r>
            <w:r>
              <w:rPr>
                <w:rFonts w:ascii="Times New Roman" w:hAnsi="Times New Roman" w:eastAsia="仿宋_GB2312" w:cs="Times New Roman"/>
                <w:color w:val="000000" w:themeColor="text1"/>
                <w:sz w:val="24"/>
                <w:lang w:val="ru-RU"/>
                <w14:textFill>
                  <w14:solidFill>
                    <w14:schemeClr w14:val="tx1"/>
                  </w14:solidFill>
                </w14:textFill>
              </w:rPr>
              <w:t>。</w:t>
            </w:r>
          </w:p>
          <w:p w14:paraId="7C67934D">
            <w:pPr>
              <w:spacing w:line="360" w:lineRule="exact"/>
              <w:jc w:val="left"/>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（四）</w:t>
            </w:r>
            <w:r>
              <w:rPr>
                <w:rFonts w:ascii="Times New Roman" w:hAnsi="Times New Roman" w:eastAsia="仿宋_GB2312" w:cs="Times New Roman"/>
                <w:color w:val="000000" w:themeColor="text1"/>
                <w:sz w:val="24"/>
                <w14:textFill>
                  <w14:solidFill>
                    <w14:schemeClr w14:val="tx1"/>
                  </w14:solidFill>
                </w14:textFill>
              </w:rPr>
              <w:t>溃</w:t>
            </w:r>
            <w:r>
              <w:rPr>
                <w:rFonts w:hint="eastAsia" w:ascii="Times New Roman" w:hAnsi="Times New Roman" w:eastAsia="仿宋_GB2312" w:cs="Times New Roman"/>
                <w:color w:val="000000" w:themeColor="text1"/>
                <w:sz w:val="24"/>
                <w14:textFill>
                  <w14:solidFill>
                    <w14:schemeClr w14:val="tx1"/>
                  </w14:solidFill>
                </w14:textFill>
              </w:rPr>
              <w:t>坝</w:t>
            </w:r>
            <w:r>
              <w:rPr>
                <w:rFonts w:ascii="Times New Roman" w:hAnsi="Times New Roman" w:eastAsia="仿宋_GB2312" w:cs="Times New Roman"/>
                <w:color w:val="000000" w:themeColor="text1"/>
                <w:sz w:val="24"/>
                <w14:textFill>
                  <w14:solidFill>
                    <w14:schemeClr w14:val="tx1"/>
                  </w14:solidFill>
                </w14:textFill>
              </w:rPr>
              <w:t>洪水计算分析报告（1</w:t>
            </w:r>
            <w:r>
              <w:rPr>
                <w:rFonts w:hint="eastAsia" w:ascii="Times New Roman" w:hAnsi="Times New Roman" w:eastAsia="仿宋_GB2312" w:cs="Times New Roman"/>
                <w:color w:val="000000" w:themeColor="text1"/>
                <w:sz w:val="24"/>
                <w:lang w:val="en-US" w:eastAsia="zh-CN"/>
                <w14:textFill>
                  <w14:solidFill>
                    <w14:schemeClr w14:val="tx1"/>
                  </w14:solidFill>
                </w14:textFill>
              </w:rPr>
              <w:t>2</w:t>
            </w:r>
            <w:r>
              <w:rPr>
                <w:rFonts w:ascii="Times New Roman" w:hAnsi="Times New Roman" w:eastAsia="仿宋_GB2312" w:cs="Times New Roman"/>
                <w:color w:val="000000" w:themeColor="text1"/>
                <w:sz w:val="24"/>
                <w14:textFill>
                  <w14:solidFill>
                    <w14:schemeClr w14:val="tx1"/>
                  </w14:solidFill>
                </w14:textFill>
              </w:rPr>
              <w:t>分):</w:t>
            </w:r>
          </w:p>
          <w:p w14:paraId="68C9234D">
            <w:pPr>
              <w:spacing w:line="360" w:lineRule="exact"/>
              <w:ind w:firstLine="480"/>
              <w:jc w:val="left"/>
              <w:rPr>
                <w:rFonts w:ascii="Times New Roman" w:hAnsi="Times New Roman" w:eastAsia="仿宋_GB2312" w:cs="Times New Roman"/>
                <w:color w:val="000000" w:themeColor="text1"/>
                <w:sz w:val="24"/>
                <w:lang w:val="ru-RU"/>
                <w14:textFill>
                  <w14:solidFill>
                    <w14:schemeClr w14:val="tx1"/>
                  </w14:solidFill>
                </w14:textFill>
              </w:rPr>
            </w:pPr>
            <w:r>
              <w:rPr>
                <w:rFonts w:hint="eastAsia" w:ascii="Times New Roman" w:hAnsi="Times New Roman" w:eastAsia="仿宋_GB2312" w:cs="Times New Roman"/>
                <w:color w:val="000000" w:themeColor="text1"/>
                <w:sz w:val="24"/>
                <w:lang w:val="ru-RU"/>
                <w14:textFill>
                  <w14:solidFill>
                    <w14:schemeClr w14:val="tx1"/>
                  </w14:solidFill>
                </w14:textFill>
              </w:rPr>
              <w:t>至少应包含：（1）研究目的；（2）技术方案；（3）工程特性及水文气象资料；（4）溃决方式分析；（5）计算数学模型和溃坝洪水计算工况及计算结果；（6）溃坝洪水影响分析等。供应商根据本项目具体实际情况进行分析及制定方案，方案中上述内容每缺一项扣2分，每有一处有缺陷或不足扣1分，未提供的不得分</w:t>
            </w:r>
            <w:r>
              <w:rPr>
                <w:rFonts w:ascii="Times New Roman" w:hAnsi="Times New Roman" w:eastAsia="仿宋_GB2312" w:cs="Times New Roman"/>
                <w:color w:val="000000" w:themeColor="text1"/>
                <w:sz w:val="24"/>
                <w:lang w:val="ru-RU"/>
                <w14:textFill>
                  <w14:solidFill>
                    <w14:schemeClr w14:val="tx1"/>
                  </w14:solidFill>
                </w14:textFill>
              </w:rPr>
              <w:t>。</w:t>
            </w:r>
          </w:p>
          <w:p w14:paraId="398CAF2C">
            <w:pPr>
              <w:spacing w:line="360" w:lineRule="exact"/>
              <w:ind w:firstLine="480"/>
              <w:jc w:val="left"/>
              <w:rPr>
                <w:rFonts w:ascii="Times New Roman" w:hAnsi="Times New Roman" w:eastAsia="仿宋_GB2312" w:cs="Times New Roman"/>
                <w:color w:val="000000" w:themeColor="text1"/>
                <w:sz w:val="24"/>
                <w:lang w:val="ru-RU"/>
                <w14:textFill>
                  <w14:solidFill>
                    <w14:schemeClr w14:val="tx1"/>
                  </w14:solidFill>
                </w14:textFill>
              </w:rPr>
            </w:pPr>
            <w:r>
              <w:rPr>
                <w:rFonts w:hint="eastAsia" w:ascii="Times New Roman" w:hAnsi="Times New Roman" w:eastAsia="仿宋_GB2312" w:cs="Times New Roman"/>
                <w:color w:val="000000" w:themeColor="text1"/>
                <w:sz w:val="24"/>
                <w:lang w:val="ru-RU"/>
                <w14:textFill>
                  <w14:solidFill>
                    <w14:schemeClr w14:val="tx1"/>
                  </w14:solidFill>
                </w14:textFill>
              </w:rPr>
              <w:t xml:space="preserve"> 注：每项方案编制中得分说明：（1）符合项目实际需求及项目情况是指：方案针对每一评分项有合乎项目具体实际的方案描述，包含但不限于上述内容的文字、图片、表格等一种或多种形式详细呈现方案内容，方案内容符合行业政策要求、满足本项目要求；（2）内容缺陷是指：内容与实际需求不匹配、不符合项目特点；不满足本项目业务板块的功能需求；不符合技术规范及政策要求；套用其他项目的数据、名称；专业术语表述错误；服务内容及要求、实施地点与本项目要求不一致；（3）不足是指：与项目不匹配或与本项目需求无关、描述简单（如仅有框架或标题或一两句话概括）、前后矛盾等。</w:t>
            </w:r>
          </w:p>
        </w:tc>
        <w:tc>
          <w:tcPr>
            <w:tcW w:w="958" w:type="dxa"/>
            <w:tcBorders>
              <w:top w:val="single" w:color="auto" w:sz="6" w:space="0"/>
              <w:left w:val="single" w:color="auto" w:sz="6" w:space="0"/>
              <w:bottom w:val="single" w:color="auto" w:sz="6" w:space="0"/>
              <w:right w:val="single" w:color="auto" w:sz="6" w:space="0"/>
            </w:tcBorders>
            <w:vAlign w:val="center"/>
          </w:tcPr>
          <w:p w14:paraId="075C2754">
            <w:pPr>
              <w:pStyle w:val="10"/>
              <w:spacing w:line="360" w:lineRule="exact"/>
              <w:ind w:firstLine="480"/>
              <w:jc w:val="center"/>
              <w:rPr>
                <w:rFonts w:ascii="Times New Roman" w:hAnsi="Times New Roman" w:eastAsia="仿宋_GB2312" w:cs="Times New Roman"/>
                <w:sz w:val="24"/>
                <w:lang w:val="ru-RU"/>
              </w:rPr>
            </w:pPr>
          </w:p>
          <w:p w14:paraId="755D79A2">
            <w:pPr>
              <w:pStyle w:val="10"/>
              <w:spacing w:line="360" w:lineRule="exact"/>
              <w:ind w:firstLine="480"/>
              <w:jc w:val="center"/>
              <w:rPr>
                <w:rFonts w:ascii="Times New Roman" w:hAnsi="Times New Roman" w:eastAsia="仿宋_GB2312" w:cs="Times New Roman"/>
                <w:sz w:val="24"/>
                <w:lang w:val="ru-RU"/>
              </w:rPr>
            </w:pPr>
          </w:p>
          <w:p w14:paraId="1E103DEE">
            <w:pPr>
              <w:pStyle w:val="10"/>
              <w:spacing w:line="360" w:lineRule="exact"/>
              <w:ind w:firstLine="480"/>
              <w:jc w:val="center"/>
              <w:rPr>
                <w:rFonts w:ascii="Times New Roman" w:hAnsi="Times New Roman" w:eastAsia="仿宋_GB2312" w:cs="Times New Roman"/>
                <w:sz w:val="24"/>
                <w:lang w:val="ru-RU"/>
              </w:rPr>
            </w:pPr>
          </w:p>
          <w:p w14:paraId="70249386">
            <w:pPr>
              <w:pStyle w:val="10"/>
              <w:spacing w:line="360" w:lineRule="exact"/>
              <w:ind w:firstLine="480"/>
              <w:jc w:val="center"/>
              <w:rPr>
                <w:rFonts w:ascii="Times New Roman" w:hAnsi="Times New Roman" w:eastAsia="仿宋_GB2312" w:cs="Times New Roman"/>
                <w:sz w:val="24"/>
                <w:lang w:val="ru-RU"/>
              </w:rPr>
            </w:pPr>
          </w:p>
          <w:p w14:paraId="463C6122">
            <w:pPr>
              <w:pStyle w:val="10"/>
              <w:spacing w:line="360" w:lineRule="exact"/>
              <w:ind w:firstLine="480"/>
              <w:jc w:val="center"/>
              <w:rPr>
                <w:rFonts w:ascii="Times New Roman" w:hAnsi="Times New Roman" w:eastAsia="仿宋_GB2312" w:cs="Times New Roman"/>
                <w:sz w:val="24"/>
                <w:lang w:val="ru-RU"/>
              </w:rPr>
            </w:pPr>
          </w:p>
          <w:p w14:paraId="15672D18">
            <w:pPr>
              <w:pStyle w:val="10"/>
              <w:spacing w:line="360" w:lineRule="exact"/>
              <w:ind w:firstLine="480"/>
              <w:jc w:val="center"/>
              <w:rPr>
                <w:rFonts w:ascii="Times New Roman" w:hAnsi="Times New Roman" w:eastAsia="仿宋_GB2312" w:cs="Times New Roman"/>
                <w:sz w:val="24"/>
                <w:lang w:val="ru-RU"/>
              </w:rPr>
            </w:pPr>
          </w:p>
          <w:p w14:paraId="3239C018">
            <w:pPr>
              <w:spacing w:line="360" w:lineRule="exact"/>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0-</w:t>
            </w:r>
            <w:r>
              <w:rPr>
                <w:rFonts w:hint="eastAsia" w:ascii="Times New Roman" w:hAnsi="Times New Roman" w:eastAsia="仿宋_GB2312" w:cs="Times New Roman"/>
                <w:sz w:val="24"/>
                <w:lang w:val="en-US" w:eastAsia="zh-CN"/>
              </w:rPr>
              <w:t>48</w:t>
            </w:r>
            <w:r>
              <w:rPr>
                <w:rFonts w:ascii="Times New Roman" w:hAnsi="Times New Roman" w:eastAsia="仿宋_GB2312" w:cs="Times New Roman"/>
                <w:sz w:val="24"/>
                <w:lang w:val="ru-RU"/>
              </w:rPr>
              <w:t>分</w:t>
            </w:r>
          </w:p>
        </w:tc>
      </w:tr>
      <w:tr w14:paraId="0B94D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645" w:type="dxa"/>
            <w:tcBorders>
              <w:left w:val="single" w:color="auto" w:sz="6" w:space="0"/>
              <w:right w:val="single" w:color="auto" w:sz="6" w:space="0"/>
            </w:tcBorders>
            <w:vAlign w:val="center"/>
          </w:tcPr>
          <w:p w14:paraId="3319A9E1">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1094" w:type="dxa"/>
            <w:tcBorders>
              <w:left w:val="single" w:color="auto" w:sz="6" w:space="0"/>
              <w:right w:val="single" w:color="auto" w:sz="6" w:space="0"/>
            </w:tcBorders>
            <w:vAlign w:val="center"/>
          </w:tcPr>
          <w:p w14:paraId="7A96FE5E">
            <w:pPr>
              <w:spacing w:line="360" w:lineRule="exact"/>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价格</w:t>
            </w:r>
          </w:p>
          <w:p w14:paraId="0DA94FFE">
            <w:pPr>
              <w:spacing w:line="360" w:lineRule="exact"/>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部分</w:t>
            </w:r>
          </w:p>
          <w:p w14:paraId="336E6FDB">
            <w:pPr>
              <w:spacing w:line="360" w:lineRule="exact"/>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w:t>
            </w:r>
            <w:r>
              <w:rPr>
                <w:rFonts w:ascii="Times New Roman" w:hAnsi="Times New Roman" w:eastAsia="仿宋_GB2312" w:cs="Times New Roman"/>
                <w:sz w:val="24"/>
              </w:rPr>
              <w:t>25</w:t>
            </w:r>
            <w:r>
              <w:rPr>
                <w:rFonts w:ascii="Times New Roman" w:hAnsi="Times New Roman" w:eastAsia="仿宋_GB2312" w:cs="Times New Roman"/>
                <w:sz w:val="24"/>
                <w:lang w:val="ru-RU"/>
              </w:rPr>
              <w:t>分）</w:t>
            </w:r>
          </w:p>
        </w:tc>
        <w:tc>
          <w:tcPr>
            <w:tcW w:w="1501" w:type="dxa"/>
            <w:tcBorders>
              <w:top w:val="single" w:color="auto" w:sz="6" w:space="0"/>
              <w:left w:val="single" w:color="auto" w:sz="6" w:space="0"/>
              <w:bottom w:val="single" w:color="auto" w:sz="6" w:space="0"/>
              <w:right w:val="single" w:color="auto" w:sz="6" w:space="0"/>
            </w:tcBorders>
            <w:vAlign w:val="center"/>
          </w:tcPr>
          <w:p w14:paraId="2EC60152">
            <w:pPr>
              <w:spacing w:line="360" w:lineRule="exact"/>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价格</w:t>
            </w:r>
          </w:p>
          <w:p w14:paraId="7D2D7BAE">
            <w:pPr>
              <w:spacing w:line="360" w:lineRule="exact"/>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（2</w:t>
            </w:r>
            <w:r>
              <w:rPr>
                <w:rFonts w:ascii="Times New Roman" w:hAnsi="Times New Roman" w:eastAsia="仿宋_GB2312" w:cs="Times New Roman"/>
                <w:sz w:val="24"/>
              </w:rPr>
              <w:t>5</w:t>
            </w:r>
            <w:r>
              <w:rPr>
                <w:rFonts w:ascii="Times New Roman" w:hAnsi="Times New Roman" w:eastAsia="仿宋_GB2312" w:cs="Times New Roman"/>
                <w:sz w:val="24"/>
                <w:lang w:val="ru-RU"/>
              </w:rPr>
              <w:t>分）</w:t>
            </w:r>
          </w:p>
        </w:tc>
        <w:tc>
          <w:tcPr>
            <w:tcW w:w="6076" w:type="dxa"/>
            <w:tcBorders>
              <w:top w:val="single" w:color="auto" w:sz="6" w:space="0"/>
              <w:left w:val="single" w:color="auto" w:sz="6" w:space="0"/>
              <w:bottom w:val="single" w:color="auto" w:sz="6" w:space="0"/>
              <w:right w:val="single" w:color="auto" w:sz="6" w:space="0"/>
            </w:tcBorders>
            <w:vAlign w:val="center"/>
          </w:tcPr>
          <w:p w14:paraId="54EEBAB2">
            <w:pPr>
              <w:spacing w:line="360" w:lineRule="exact"/>
              <w:ind w:firstLine="480"/>
              <w:jc w:val="center"/>
              <w:rPr>
                <w:rFonts w:ascii="Times New Roman" w:hAnsi="Times New Roman" w:eastAsia="仿宋_GB2312" w:cs="Times New Roman"/>
                <w:sz w:val="24"/>
                <w:lang w:val="ru-RU"/>
              </w:rPr>
            </w:pPr>
            <w:r>
              <w:rPr>
                <w:rFonts w:ascii="Times New Roman" w:hAnsi="Times New Roman" w:eastAsia="仿宋_GB2312" w:cs="Times New Roman"/>
                <w:sz w:val="24"/>
                <w:lang w:val="ru-RU"/>
              </w:rPr>
              <w:t>满足磋商文件要求且价格最低的报价为评审基准价，其价格分为满分。其他供应商的价格分按下列公式计算：响应报价得分=(评审基准价／响应报价)*2</w:t>
            </w:r>
            <w:r>
              <w:rPr>
                <w:rFonts w:ascii="Times New Roman" w:hAnsi="Times New Roman" w:eastAsia="仿宋_GB2312" w:cs="Times New Roman"/>
                <w:sz w:val="24"/>
              </w:rPr>
              <w:t>5</w:t>
            </w:r>
            <w:r>
              <w:rPr>
                <w:rFonts w:ascii="Times New Roman" w:hAnsi="Times New Roman" w:eastAsia="仿宋_GB2312" w:cs="Times New Roman"/>
                <w:sz w:val="24"/>
                <w:lang w:val="ru-RU"/>
              </w:rPr>
              <w:t>分</w:t>
            </w:r>
          </w:p>
        </w:tc>
        <w:tc>
          <w:tcPr>
            <w:tcW w:w="958" w:type="dxa"/>
            <w:tcBorders>
              <w:top w:val="single" w:color="auto" w:sz="6" w:space="0"/>
              <w:left w:val="single" w:color="auto" w:sz="6" w:space="0"/>
              <w:bottom w:val="single" w:color="auto" w:sz="6" w:space="0"/>
              <w:right w:val="single" w:color="auto" w:sz="6" w:space="0"/>
            </w:tcBorders>
            <w:vAlign w:val="center"/>
          </w:tcPr>
          <w:p w14:paraId="657D1B80">
            <w:pPr>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0-25分</w:t>
            </w:r>
          </w:p>
        </w:tc>
      </w:tr>
    </w:tbl>
    <w:p w14:paraId="2E6AC2BC">
      <w:pPr>
        <w:rPr>
          <w:rFonts w:hint="eastAsia" w:ascii="黑体" w:hAnsi="黑体" w:eastAsia="黑体" w:cs="黑体"/>
          <w:bCs/>
          <w:sz w:val="32"/>
          <w:szCs w:val="32"/>
        </w:rPr>
      </w:pPr>
      <w:bookmarkStart w:id="88" w:name="_Toc104383962"/>
      <w:bookmarkStart w:id="89" w:name="_Toc17268"/>
      <w:bookmarkStart w:id="90" w:name="_Toc29299"/>
      <w:r>
        <w:rPr>
          <w:rFonts w:hint="eastAsia" w:ascii="黑体" w:hAnsi="黑体" w:eastAsia="黑体" w:cs="黑体"/>
          <w:bCs/>
          <w:sz w:val="32"/>
          <w:szCs w:val="32"/>
        </w:rPr>
        <w:br w:type="page"/>
      </w:r>
    </w:p>
    <w:p w14:paraId="4212DDC6">
      <w:pPr>
        <w:spacing w:line="578" w:lineRule="exact"/>
        <w:jc w:val="center"/>
        <w:rPr>
          <w:rFonts w:hint="eastAsia" w:ascii="黑体" w:hAnsi="黑体" w:eastAsia="黑体" w:cs="黑体"/>
          <w:bCs/>
          <w:sz w:val="32"/>
          <w:szCs w:val="32"/>
        </w:rPr>
      </w:pPr>
      <w:r>
        <w:rPr>
          <w:rFonts w:hint="eastAsia" w:ascii="黑体" w:hAnsi="黑体" w:eastAsia="黑体" w:cs="黑体"/>
          <w:bCs/>
          <w:sz w:val="32"/>
          <w:szCs w:val="32"/>
        </w:rPr>
        <w:t>第五部分  响应文件格式</w:t>
      </w:r>
      <w:bookmarkEnd w:id="88"/>
      <w:bookmarkEnd w:id="89"/>
      <w:bookmarkEnd w:id="90"/>
    </w:p>
    <w:p w14:paraId="68D2D4B0">
      <w:pPr>
        <w:spacing w:line="578" w:lineRule="exact"/>
        <w:jc w:val="center"/>
        <w:rPr>
          <w:rFonts w:hint="eastAsia" w:ascii="仿宋_GB2312" w:hAnsi="仿宋_GB2312" w:eastAsia="仿宋_GB2312" w:cs="仿宋_GB2312"/>
          <w:sz w:val="32"/>
          <w:szCs w:val="32"/>
        </w:rPr>
      </w:pPr>
    </w:p>
    <w:p w14:paraId="7B364305">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供应商应向采购人、采购代理机构提供包括以下内容的《响应文件》：</w:t>
      </w:r>
    </w:p>
    <w:p w14:paraId="6BB603E9">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.磋商函（详见附</w:t>
      </w:r>
      <w:r>
        <w:rPr>
          <w:rFonts w:ascii="Times New Roman" w:hAnsi="Times New Roman" w:eastAsia="仿宋_GB2312" w:cs="Times New Roman"/>
          <w:sz w:val="32"/>
          <w:szCs w:val="32"/>
        </w:rPr>
        <w:t>录1</w:t>
      </w:r>
      <w:r>
        <w:rPr>
          <w:rFonts w:hint="eastAsia" w:ascii="仿宋_GB2312" w:hAnsi="仿宋_GB2312" w:eastAsia="仿宋_GB2312" w:cs="仿宋_GB2312"/>
          <w:sz w:val="32"/>
          <w:szCs w:val="32"/>
        </w:rPr>
        <w:t>）；</w:t>
      </w:r>
    </w:p>
    <w:p w14:paraId="40C0ED77">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.法定代表人授权书（法定代表人不能参加磋商时出具）（详见附</w:t>
      </w:r>
      <w:r>
        <w:rPr>
          <w:rFonts w:ascii="Times New Roman" w:hAnsi="Times New Roman" w:eastAsia="仿宋_GB2312" w:cs="Times New Roman"/>
          <w:sz w:val="32"/>
          <w:szCs w:val="32"/>
        </w:rPr>
        <w:t>录</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w:t>
      </w:r>
    </w:p>
    <w:p w14:paraId="4462D6C1">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.报价表；</w:t>
      </w:r>
    </w:p>
    <w:p w14:paraId="1ED592DE">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4</w:t>
      </w:r>
      <w:r>
        <w:rPr>
          <w:rFonts w:hint="eastAsia" w:ascii="仿宋_GB2312" w:hAnsi="仿宋_GB2312" w:eastAsia="仿宋_GB2312" w:cs="仿宋_GB2312"/>
          <w:sz w:val="32"/>
          <w:szCs w:val="32"/>
        </w:rPr>
        <w:t>.企业或机构相关证件，例如：营业执照、单位资质、人员资格证书及注册信息等相关文件（复印件，须加盖供应商公章）；</w:t>
      </w:r>
    </w:p>
    <w:p w14:paraId="026FFF95">
      <w:pPr>
        <w:spacing w:line="578" w:lineRule="exact"/>
        <w:ind w:firstLine="640" w:firstLineChars="200"/>
        <w:rPr>
          <w:rFonts w:hint="eastAsia" w:ascii="仿宋_GB2312" w:hAnsi="仿宋_GB2312" w:eastAsia="仿宋_GB2312" w:cs="仿宋_GB2312"/>
          <w:kern w:val="0"/>
          <w:sz w:val="32"/>
          <w:szCs w:val="32"/>
          <w:lang w:val="zh-CN"/>
        </w:rPr>
      </w:pPr>
      <w:r>
        <w:rPr>
          <w:rFonts w:ascii="Times New Roman" w:hAnsi="Times New Roman" w:eastAsia="仿宋_GB2312" w:cs="Times New Roman"/>
          <w:sz w:val="32"/>
          <w:szCs w:val="32"/>
        </w:rPr>
        <w:t>5</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val="zh-CN"/>
        </w:rPr>
        <w:t>供应商提供本单</w:t>
      </w:r>
      <w:r>
        <w:rPr>
          <w:rFonts w:ascii="Times New Roman" w:hAnsi="Times New Roman" w:eastAsia="仿宋_GB2312" w:cs="Times New Roman"/>
          <w:kern w:val="0"/>
          <w:sz w:val="32"/>
          <w:szCs w:val="32"/>
          <w:lang w:val="zh-CN"/>
        </w:rPr>
        <w:t>位202</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lang w:val="zh-CN"/>
        </w:rPr>
        <w:t>年度或202</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lang w:val="zh-CN"/>
        </w:rPr>
        <w:t>年度经会计师事务所出具的财务审计报告，还须提供经审计后的资产负债表、利润表和现金流量表复印件，加盖供应商公章。如供应商无法提供年度审计报告，则须提供银行出</w:t>
      </w:r>
      <w:r>
        <w:rPr>
          <w:rFonts w:hint="eastAsia" w:ascii="仿宋_GB2312" w:hAnsi="仿宋_GB2312" w:eastAsia="仿宋_GB2312" w:cs="仿宋_GB2312"/>
          <w:kern w:val="0"/>
          <w:sz w:val="32"/>
          <w:szCs w:val="32"/>
          <w:lang w:val="zh-CN"/>
        </w:rPr>
        <w:t>具的资信证明或政府采购担保函或供应商自行承诺其财务状况良好的承诺函（</w:t>
      </w:r>
      <w:r>
        <w:rPr>
          <w:rFonts w:hint="eastAsia" w:ascii="仿宋_GB2312" w:hAnsi="仿宋_GB2312" w:eastAsia="仿宋_GB2312" w:cs="仿宋_GB2312"/>
          <w:sz w:val="32"/>
          <w:szCs w:val="32"/>
        </w:rPr>
        <w:t>供应商</w:t>
      </w:r>
      <w:r>
        <w:rPr>
          <w:rFonts w:hint="eastAsia" w:ascii="仿宋_GB2312" w:hAnsi="仿宋_GB2312" w:eastAsia="仿宋_GB2312" w:cs="仿宋_GB2312"/>
          <w:kern w:val="0"/>
          <w:sz w:val="32"/>
          <w:szCs w:val="32"/>
          <w:lang w:val="zh-CN"/>
        </w:rPr>
        <w:t>自行编制）；</w:t>
      </w:r>
    </w:p>
    <w:p w14:paraId="1DAC9BB2">
      <w:pPr>
        <w:spacing w:line="578" w:lineRule="exact"/>
        <w:ind w:firstLine="640" w:firstLineChars="200"/>
        <w:rPr>
          <w:rFonts w:hint="eastAsia" w:ascii="仿宋_GB2312" w:hAnsi="仿宋_GB2312" w:eastAsia="仿宋_GB2312" w:cs="仿宋_GB2312"/>
          <w:sz w:val="32"/>
          <w:szCs w:val="32"/>
          <w:lang w:eastAsia="zh-CN"/>
        </w:rPr>
      </w:pPr>
      <w:r>
        <w:rPr>
          <w:rFonts w:ascii="Times New Roman" w:hAnsi="Times New Roman" w:eastAsia="仿宋_GB2312" w:cs="Times New Roman"/>
          <w:sz w:val="32"/>
          <w:szCs w:val="32"/>
        </w:rPr>
        <w:t>6</w:t>
      </w:r>
      <w:r>
        <w:rPr>
          <w:rFonts w:hint="eastAsia" w:ascii="仿宋_GB2312" w:hAnsi="仿宋_GB2312" w:eastAsia="仿宋_GB2312" w:cs="仿宋_GB2312"/>
          <w:sz w:val="32"/>
          <w:szCs w:val="32"/>
        </w:rPr>
        <w:t>.有依法缴纳社会保障资金的良好记录（须加盖供应商公章）或供应商的承诺书（格式自制）</w:t>
      </w:r>
      <w:r>
        <w:rPr>
          <w:rFonts w:hint="eastAsia" w:ascii="仿宋_GB2312" w:hAnsi="仿宋_GB2312" w:eastAsia="仿宋_GB2312" w:cs="仿宋_GB2312"/>
          <w:sz w:val="32"/>
          <w:szCs w:val="32"/>
          <w:lang w:eastAsia="zh-CN"/>
        </w:rPr>
        <w:t>；</w:t>
      </w:r>
    </w:p>
    <w:p w14:paraId="01DDC7B9">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7</w:t>
      </w:r>
      <w:r>
        <w:rPr>
          <w:rFonts w:hint="eastAsia" w:ascii="仿宋_GB2312" w:hAnsi="仿宋_GB2312" w:eastAsia="仿宋_GB2312" w:cs="仿宋_GB2312"/>
          <w:sz w:val="32"/>
          <w:szCs w:val="32"/>
        </w:rPr>
        <w:t>.有依法缴纳税收的良好记录（须加盖供应商公章）或供应商的承诺书（格式自制）；</w:t>
      </w:r>
    </w:p>
    <w:p w14:paraId="3443B656">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提供参加本次政府采购活动最近半年内任意一个月的纳税有效凭据或相关部门出具的依法纳税有效证明文件。</w:t>
      </w:r>
    </w:p>
    <w:p w14:paraId="24B6C894">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8</w:t>
      </w:r>
      <w:r>
        <w:rPr>
          <w:rFonts w:hint="eastAsia" w:ascii="仿宋_GB2312" w:hAnsi="仿宋_GB2312" w:eastAsia="仿宋_GB2312" w:cs="仿宋_GB2312"/>
          <w:sz w:val="32"/>
          <w:szCs w:val="32"/>
        </w:rPr>
        <w:t>.参加本次政府采购活动前三年内，在经营活动中没有重大违法记录的声明（供应商须提供此声明，法定代表人本人或被授权人签字或签章并加盖单位公章。按《磋商文件》格式填写）。</w:t>
      </w:r>
    </w:p>
    <w:p w14:paraId="13399D40">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9</w:t>
      </w:r>
      <w:r>
        <w:rPr>
          <w:rFonts w:hint="eastAsia" w:ascii="仿宋_GB2312" w:hAnsi="仿宋_GB2312" w:eastAsia="仿宋_GB2312" w:cs="仿宋_GB2312"/>
          <w:sz w:val="32"/>
          <w:szCs w:val="32"/>
        </w:rPr>
        <w:t>.供应商近三年（</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年1月1日起至响应文件递交截止之日前3日内）未被</w:t>
      </w:r>
      <w:r>
        <w:rPr>
          <w:rFonts w:hint="eastAsia" w:ascii="仿宋_GB2312" w:hAnsi="仿宋_GB2312" w:eastAsia="仿宋_GB2312" w:cs="仿宋_GB2312"/>
          <w:sz w:val="32"/>
          <w:szCs w:val="32"/>
        </w:rPr>
        <w:t>“信用中国”网站及“中国政府采购网”网站列入失信被执行人、税收违法黑名单、政府采购严重违法失信行为记录名单。</w:t>
      </w:r>
    </w:p>
    <w:p w14:paraId="24525EAB">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10</w:t>
      </w:r>
      <w:r>
        <w:rPr>
          <w:rFonts w:hint="eastAsia" w:ascii="仿宋_GB2312" w:hAnsi="仿宋_GB2312" w:eastAsia="仿宋_GB2312" w:cs="仿宋_GB2312"/>
          <w:sz w:val="32"/>
          <w:szCs w:val="32"/>
        </w:rPr>
        <w:t>.商务条款偏离表</w:t>
      </w:r>
    </w:p>
    <w:p w14:paraId="0706855D">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11</w:t>
      </w:r>
      <w:r>
        <w:rPr>
          <w:rFonts w:hint="eastAsia" w:ascii="仿宋_GB2312" w:hAnsi="仿宋_GB2312" w:eastAsia="仿宋_GB2312" w:cs="仿宋_GB2312"/>
          <w:sz w:val="32"/>
          <w:szCs w:val="32"/>
        </w:rPr>
        <w:t>.服务方案</w:t>
      </w:r>
    </w:p>
    <w:p w14:paraId="2036FFF4">
      <w:pPr>
        <w:spacing w:line="578"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12</w:t>
      </w:r>
      <w:r>
        <w:rPr>
          <w:rFonts w:hint="eastAsia" w:ascii="仿宋_GB2312" w:hAnsi="仿宋_GB2312" w:eastAsia="仿宋_GB2312" w:cs="仿宋_GB2312"/>
          <w:sz w:val="32"/>
          <w:szCs w:val="32"/>
        </w:rPr>
        <w:t>.磋商文件要求提供的其他资料；</w:t>
      </w:r>
      <w:r>
        <w:rPr>
          <w:rFonts w:hint="eastAsia" w:ascii="仿宋_GB2312" w:hAnsi="仿宋_GB2312" w:eastAsia="仿宋_GB2312" w:cs="仿宋_GB2312"/>
          <w:sz w:val="32"/>
          <w:szCs w:val="32"/>
          <w:u w:val="thick"/>
        </w:rPr>
        <w:t>凡是在评审因素中要求考察的内容，供应商均须有响应文件中提供详细的材料证明</w:t>
      </w:r>
      <w:r>
        <w:rPr>
          <w:rFonts w:hint="eastAsia" w:ascii="仿宋_GB2312" w:hAnsi="仿宋_GB2312" w:eastAsia="仿宋_GB2312" w:cs="仿宋_GB2312"/>
          <w:sz w:val="32"/>
          <w:szCs w:val="32"/>
        </w:rPr>
        <w:t>；</w:t>
      </w:r>
    </w:p>
    <w:p w14:paraId="7905EBD5">
      <w:pPr>
        <w:spacing w:line="578" w:lineRule="exact"/>
        <w:jc w:val="left"/>
        <w:rPr>
          <w:rFonts w:ascii="Times New Roman" w:hAnsi="Times New Roman" w:eastAsia="黑体" w:cs="Times New Roman"/>
          <w:sz w:val="32"/>
          <w:szCs w:val="32"/>
        </w:rPr>
      </w:pPr>
      <w:bookmarkStart w:id="91" w:name="_Toc404244921"/>
      <w:bookmarkStart w:id="92" w:name="_Toc307662340"/>
      <w:r>
        <w:rPr>
          <w:rFonts w:ascii="Times New Roman" w:hAnsi="Times New Roman" w:eastAsia="宋体" w:cs="Times New Roman"/>
        </w:rPr>
        <w:br w:type="page"/>
      </w:r>
      <w:r>
        <w:rPr>
          <w:rFonts w:ascii="Times New Roman" w:hAnsi="Times New Roman" w:eastAsia="黑体" w:cs="Times New Roman"/>
          <w:sz w:val="32"/>
          <w:szCs w:val="32"/>
        </w:rPr>
        <w:t>附</w:t>
      </w:r>
      <w:r>
        <w:rPr>
          <w:rFonts w:hint="eastAsia" w:ascii="Times New Roman" w:hAnsi="Times New Roman" w:eastAsia="黑体" w:cs="Times New Roman"/>
          <w:sz w:val="32"/>
          <w:szCs w:val="32"/>
        </w:rPr>
        <w:t>录</w:t>
      </w:r>
      <w:r>
        <w:rPr>
          <w:rFonts w:ascii="Times New Roman" w:hAnsi="Times New Roman" w:eastAsia="黑体" w:cs="Times New Roman"/>
          <w:sz w:val="32"/>
          <w:szCs w:val="32"/>
        </w:rPr>
        <w:t>1</w:t>
      </w:r>
    </w:p>
    <w:p w14:paraId="7335536C">
      <w:pPr>
        <w:spacing w:line="578" w:lineRule="exact"/>
        <w:ind w:firstLine="643"/>
        <w:jc w:val="center"/>
        <w:rPr>
          <w:rFonts w:hint="eastAsia" w:ascii="黑体" w:hAnsi="黑体" w:eastAsia="黑体" w:cs="黑体"/>
          <w:sz w:val="32"/>
          <w:szCs w:val="32"/>
        </w:rPr>
      </w:pPr>
      <w:r>
        <w:rPr>
          <w:rFonts w:hint="eastAsia" w:ascii="黑体" w:hAnsi="黑体" w:eastAsia="黑体" w:cs="黑体"/>
          <w:b/>
          <w:sz w:val="32"/>
          <w:szCs w:val="32"/>
        </w:rPr>
        <w:t>磋  商  函</w:t>
      </w:r>
    </w:p>
    <w:p w14:paraId="5FCE389D">
      <w:pPr>
        <w:spacing w:line="360" w:lineRule="auto"/>
        <w:rPr>
          <w:rFonts w:ascii="Times New Roman" w:hAnsi="Times New Roman" w:eastAsia="仿宋_GB2312" w:cs="Times New Roman"/>
          <w:sz w:val="32"/>
          <w:szCs w:val="32"/>
          <w:u w:val="single"/>
        </w:rPr>
      </w:pPr>
    </w:p>
    <w:p w14:paraId="055ECBE9">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（采购人名称）</w:t>
      </w:r>
      <w:r>
        <w:rPr>
          <w:rFonts w:ascii="Times New Roman" w:hAnsi="Times New Roman" w:eastAsia="仿宋_GB2312" w:cs="Times New Roman"/>
          <w:sz w:val="32"/>
          <w:szCs w:val="32"/>
        </w:rPr>
        <w:t>：</w:t>
      </w:r>
    </w:p>
    <w:p w14:paraId="20C15A33">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____________________（供应商全称）授权___________（授权代表姓名）____________（职务、职称）为全权代表，参加贵方组织的“土溪口水库工程安全度汛技术咨询服务”竞争性磋商的有关活动，并对此项目进行响应。</w:t>
      </w:r>
    </w:p>
    <w:p w14:paraId="34AE24FA">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为此：</w:t>
      </w:r>
    </w:p>
    <w:p w14:paraId="17CD6B7B">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一、我方同意在本项目磋商文件中规定的内容在磋商之日起90天内遵守本响应文件中的承诺，且在此期限期满之前均具有约束力。我方同意并遵守本磋商文件“供应商须知”中关于有效期的规定。</w:t>
      </w:r>
    </w:p>
    <w:p w14:paraId="3EA10D4C">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二、我方承诺具备《中华人民共和国政府采购法》中规定的参加政府采购活动的供应商应当具备的条件，并提供相应的证明材料： </w:t>
      </w:r>
    </w:p>
    <w:p w14:paraId="4387FE9E">
      <w:pPr>
        <w:spacing w:line="578"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w:t>
      </w:r>
      <w:r>
        <w:rPr>
          <w:rFonts w:ascii="Times New Roman" w:hAnsi="Times New Roman" w:eastAsia="仿宋_GB2312" w:cs="Times New Roman"/>
          <w:color w:val="auto"/>
          <w:sz w:val="32"/>
          <w:szCs w:val="32"/>
        </w:rPr>
        <w:t>具有独立承担民事责任的能力；</w:t>
      </w:r>
    </w:p>
    <w:p w14:paraId="533FBD5A">
      <w:pPr>
        <w:spacing w:line="578"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w:t>
      </w:r>
      <w:r>
        <w:rPr>
          <w:rFonts w:ascii="Times New Roman" w:hAnsi="Times New Roman" w:eastAsia="仿宋_GB2312" w:cs="Times New Roman"/>
          <w:color w:val="auto"/>
          <w:sz w:val="32"/>
          <w:szCs w:val="32"/>
        </w:rPr>
        <w:t>具有良好的商业信誉和健全的财务会计制度；</w:t>
      </w:r>
    </w:p>
    <w:p w14:paraId="4F500A40">
      <w:pPr>
        <w:spacing w:line="578"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w:t>
      </w:r>
      <w:r>
        <w:rPr>
          <w:rFonts w:ascii="Times New Roman" w:hAnsi="Times New Roman" w:eastAsia="仿宋_GB2312" w:cs="Times New Roman"/>
          <w:color w:val="auto"/>
          <w:sz w:val="32"/>
          <w:szCs w:val="32"/>
        </w:rPr>
        <w:t>具有履行合同所必需的设备和专业技术能力；</w:t>
      </w:r>
    </w:p>
    <w:p w14:paraId="4CA609F3">
      <w:pPr>
        <w:spacing w:line="578"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w:t>
      </w:r>
      <w:r>
        <w:rPr>
          <w:rFonts w:ascii="Times New Roman" w:hAnsi="Times New Roman" w:eastAsia="仿宋_GB2312" w:cs="Times New Roman"/>
          <w:color w:val="auto"/>
          <w:sz w:val="32"/>
          <w:szCs w:val="32"/>
        </w:rPr>
        <w:t>有依法缴纳税收和社会保障资金的良好记录；</w:t>
      </w:r>
    </w:p>
    <w:p w14:paraId="18D87ACF">
      <w:pPr>
        <w:spacing w:line="578"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w:t>
      </w:r>
      <w:r>
        <w:rPr>
          <w:rFonts w:ascii="Times New Roman" w:hAnsi="Times New Roman" w:eastAsia="仿宋_GB2312" w:cs="Times New Roman"/>
          <w:color w:val="auto"/>
          <w:sz w:val="32"/>
          <w:szCs w:val="32"/>
        </w:rPr>
        <w:t>参加此项采购活动前三年内，在经营活动中没有重大违法记录。</w:t>
      </w:r>
    </w:p>
    <w:p w14:paraId="43EC0E46">
      <w:pPr>
        <w:pStyle w:val="4"/>
        <w:spacing w:after="0" w:line="578"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6</w:t>
      </w:r>
      <w:r>
        <w:rPr>
          <w:rFonts w:hint="eastAsia" w:ascii="仿宋_GB2312" w:hAnsi="仿宋_GB2312" w:eastAsia="仿宋_GB2312" w:cs="仿宋_GB2312"/>
          <w:color w:val="auto"/>
          <w:sz w:val="32"/>
          <w:szCs w:val="32"/>
        </w:rPr>
        <w:t>.</w:t>
      </w:r>
      <w:r>
        <w:rPr>
          <w:rFonts w:ascii="Times New Roman" w:hAnsi="Times New Roman" w:eastAsia="仿宋_GB2312" w:cs="Times New Roman"/>
          <w:color w:val="auto"/>
          <w:sz w:val="32"/>
          <w:szCs w:val="32"/>
        </w:rPr>
        <w:t>具有</w:t>
      </w:r>
      <w:r>
        <w:rPr>
          <w:rFonts w:hint="eastAsia" w:ascii="Times New Roman" w:hAnsi="Times New Roman" w:eastAsia="仿宋_GB2312" w:cs="Times New Roman"/>
          <w:color w:val="auto"/>
          <w:sz w:val="32"/>
          <w:szCs w:val="32"/>
        </w:rPr>
        <w:t>国家行政主管部门颁发的工程设计</w:t>
      </w:r>
      <w:r>
        <w:rPr>
          <w:rFonts w:ascii="Times New Roman" w:hAnsi="Times New Roman" w:eastAsia="仿宋_GB2312" w:cs="Times New Roman"/>
          <w:color w:val="auto"/>
          <w:sz w:val="32"/>
          <w:szCs w:val="32"/>
        </w:rPr>
        <w:t>水利行业丙级及以上资质。</w:t>
      </w:r>
    </w:p>
    <w:p w14:paraId="51EC5A50">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三、我方承诺，与贵方聘请的为此项目提供咨询服务的公司及任何附属机构均无关联，我方不是贵方的附属机构。</w:t>
      </w:r>
    </w:p>
    <w:p w14:paraId="73518274">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我方已详细阅读全部磋商文件及全部参考资料和有关附件。我方已经完全理解了磋商文件中的各项内容和各项权利义务的真实含义，并承诺在发生争议时不会以对磋商文件存在误解、不明白的条款为由，对贵司行使任何法律上的抗辩权。</w:t>
      </w:r>
    </w:p>
    <w:p w14:paraId="1906A2B7">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五、提供磋商文件规定的全部文件，包括响应文件正本1份、响应文件副本2份。</w:t>
      </w:r>
    </w:p>
    <w:p w14:paraId="2E9D02A6">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六、保证忠实地执行双方所签订的合同，并承担合同规定的责任和义务。</w:t>
      </w:r>
    </w:p>
    <w:p w14:paraId="587B6EAC">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七、承诺完全满足和响应磋商文件中的各项商务和服务需求，若有偏差，已在响应文件中显著处予以明确特别说明。</w:t>
      </w:r>
    </w:p>
    <w:p w14:paraId="1251AA8F">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八、保证遵守磋商文件的规定。</w:t>
      </w:r>
    </w:p>
    <w:p w14:paraId="6208DCE8">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九、我方愿意如实提供任何与本项磋商有关的数据、情况和方案资料。</w:t>
      </w:r>
    </w:p>
    <w:p w14:paraId="090F8986">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十、我方已详细审核全部响应文件，包括响应文件修改书（如有的话）、参考资料及有关附件，确认无误。</w:t>
      </w:r>
    </w:p>
    <w:p w14:paraId="341B99F8">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十一、我方承诺：贵方若需追加采购本项目磋商文件所列相关服务的，在不改变合同其他实质性条款的前提下，按相同或更优惠的优惠幅度保证完成需求所述全部内容。</w:t>
      </w:r>
    </w:p>
    <w:p w14:paraId="21EE9317">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我方将严格遵守《中华人民共和国政府采购法》的有关规定，若有下列情形之一的，将被有关部门处罚，列入不良行为记录名单，在一至三年内禁止参加政府采购活动；有违法所得的，并处没收违法所得；情节严重的，由工商行政管理机关吊销营业执照；构成犯罪的，依法追究刑事责任：</w:t>
      </w:r>
    </w:p>
    <w:p w14:paraId="588DA495">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color w:val="FF0000"/>
          <w:sz w:val="32"/>
          <w:szCs w:val="32"/>
        </w:rPr>
        <w:t>.</w:t>
      </w:r>
      <w:r>
        <w:rPr>
          <w:rFonts w:ascii="Times New Roman" w:hAnsi="Times New Roman" w:eastAsia="仿宋_GB2312" w:cs="Times New Roman"/>
          <w:sz w:val="32"/>
          <w:szCs w:val="32"/>
        </w:rPr>
        <w:t>提供虚假材料谋取成交的；</w:t>
      </w:r>
    </w:p>
    <w:p w14:paraId="4CEFD00E">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color w:val="FF0000"/>
          <w:sz w:val="32"/>
          <w:szCs w:val="32"/>
        </w:rPr>
        <w:t>.</w:t>
      </w:r>
      <w:r>
        <w:rPr>
          <w:rFonts w:ascii="Times New Roman" w:hAnsi="Times New Roman" w:eastAsia="仿宋_GB2312" w:cs="Times New Roman"/>
          <w:sz w:val="32"/>
          <w:szCs w:val="32"/>
        </w:rPr>
        <w:t>采取不正当手段诋毁、排挤其他供应商的；</w:t>
      </w:r>
    </w:p>
    <w:p w14:paraId="270D8074">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color w:val="FF0000"/>
          <w:sz w:val="32"/>
          <w:szCs w:val="32"/>
        </w:rPr>
        <w:t>.</w:t>
      </w:r>
      <w:r>
        <w:rPr>
          <w:rFonts w:ascii="Times New Roman" w:hAnsi="Times New Roman" w:eastAsia="仿宋_GB2312" w:cs="Times New Roman"/>
          <w:sz w:val="32"/>
          <w:szCs w:val="32"/>
        </w:rPr>
        <w:t>与其他供应商或磋商小组恶意串通的；</w:t>
      </w:r>
    </w:p>
    <w:p w14:paraId="4C05B409">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仿宋_GB2312" w:hAnsi="仿宋_GB2312" w:eastAsia="仿宋_GB2312" w:cs="仿宋_GB2312"/>
          <w:color w:val="FF0000"/>
          <w:sz w:val="32"/>
          <w:szCs w:val="32"/>
        </w:rPr>
        <w:t>.</w:t>
      </w:r>
      <w:r>
        <w:rPr>
          <w:rFonts w:ascii="Times New Roman" w:hAnsi="Times New Roman" w:eastAsia="仿宋_GB2312" w:cs="Times New Roman"/>
          <w:sz w:val="32"/>
          <w:szCs w:val="32"/>
        </w:rPr>
        <w:t>向磋商小组行贿或提供其他不正当利益的；</w:t>
      </w:r>
    </w:p>
    <w:p w14:paraId="11D8AB91">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仿宋_GB2312" w:hAnsi="仿宋_GB2312" w:eastAsia="仿宋_GB2312" w:cs="仿宋_GB2312"/>
          <w:color w:val="FF0000"/>
          <w:sz w:val="32"/>
          <w:szCs w:val="32"/>
        </w:rPr>
        <w:t>.</w:t>
      </w:r>
      <w:r>
        <w:rPr>
          <w:rFonts w:ascii="Times New Roman" w:hAnsi="Times New Roman" w:eastAsia="仿宋_GB2312" w:cs="Times New Roman"/>
          <w:sz w:val="32"/>
          <w:szCs w:val="32"/>
        </w:rPr>
        <w:t>拒绝有关部门监督检查或提供虚假情况的。</w:t>
      </w:r>
    </w:p>
    <w:p w14:paraId="403A9B8A">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三、我方承诺：我方在本项目磋商中的陈述和本响应文件的一切资料均为真实合法，没有不实的描述、承诺或者伪造、变造的情形。如果我方在本项目磋商中做虚假陈述或者在响应文件中提供虚假资料，本响应文件无效，并自愿接受有关处罚，及由此带来的法律后果。</w:t>
      </w:r>
    </w:p>
    <w:p w14:paraId="236DCA03">
      <w:pPr>
        <w:spacing w:line="578" w:lineRule="exact"/>
        <w:ind w:firstLine="640" w:firstLineChars="200"/>
        <w:rPr>
          <w:rFonts w:ascii="Times New Roman" w:hAnsi="Times New Roman" w:eastAsia="仿宋_GB2312" w:cs="Times New Roman"/>
          <w:sz w:val="32"/>
          <w:szCs w:val="32"/>
        </w:rPr>
      </w:pPr>
    </w:p>
    <w:p w14:paraId="45EB9681">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与本次磋商有关的一切往来通讯请寄：</w:t>
      </w:r>
    </w:p>
    <w:p w14:paraId="79F99C4A">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地址：       </w:t>
      </w:r>
    </w:p>
    <w:p w14:paraId="77EDC362">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邮编：     </w:t>
      </w:r>
    </w:p>
    <w:p w14:paraId="776D7438">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电话：      </w:t>
      </w:r>
    </w:p>
    <w:p w14:paraId="3D107EA8">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p w14:paraId="3CD7C5AD">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供应商授权代表签字：</w:t>
      </w:r>
    </w:p>
    <w:p w14:paraId="3CC76519">
      <w:pPr>
        <w:spacing w:line="360" w:lineRule="auto"/>
        <w:rPr>
          <w:rFonts w:hint="eastAsia" w:ascii="仿宋_GB2312" w:hAnsi="仿宋_GB2312" w:eastAsia="仿宋_GB2312" w:cs="仿宋_GB2312"/>
          <w:sz w:val="32"/>
          <w:szCs w:val="32"/>
        </w:rPr>
      </w:pPr>
      <w:r>
        <w:rPr>
          <w:rFonts w:ascii="Times New Roman" w:hAnsi="Times New Roman" w:eastAsia="仿宋_GB2312" w:cs="Times New Roman"/>
          <w:sz w:val="32"/>
          <w:szCs w:val="32"/>
        </w:rPr>
        <w:t>供应商授权代表联系电话（移动电话）</w:t>
      </w:r>
      <w:r>
        <w:rPr>
          <w:rFonts w:hint="eastAsia" w:ascii="仿宋_GB2312" w:hAnsi="仿宋_GB2312" w:eastAsia="仿宋_GB2312" w:cs="仿宋_GB2312"/>
          <w:sz w:val="32"/>
          <w:szCs w:val="32"/>
        </w:rPr>
        <w:t>:</w:t>
      </w:r>
    </w:p>
    <w:p w14:paraId="487E5576">
      <w:pPr>
        <w:spacing w:line="360" w:lineRule="auto"/>
        <w:rPr>
          <w:rFonts w:ascii="Times New Roman" w:hAnsi="Times New Roman" w:eastAsia="仿宋_GB2312" w:cs="Times New Roman"/>
          <w:sz w:val="32"/>
          <w:szCs w:val="32"/>
        </w:rPr>
      </w:pPr>
    </w:p>
    <w:p w14:paraId="31A1607E">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供应商公章</w:t>
      </w:r>
      <w:r>
        <w:rPr>
          <w:rFonts w:hint="eastAsia" w:ascii="Times New Roman" w:hAnsi="Times New Roman" w:eastAsia="仿宋_GB2312" w:cs="Times New Roman"/>
          <w:sz w:val="32"/>
          <w:szCs w:val="32"/>
        </w:rPr>
        <w:t>：</w:t>
      </w:r>
    </w:p>
    <w:p w14:paraId="16FF8656">
      <w:pPr>
        <w:spacing w:line="360" w:lineRule="auto"/>
        <w:ind w:firstLine="2560" w:firstLineChars="800"/>
        <w:rPr>
          <w:rFonts w:ascii="Times New Roman" w:hAnsi="Times New Roman" w:eastAsia="仿宋_GB2312" w:cs="Times New Roman"/>
          <w:sz w:val="32"/>
          <w:szCs w:val="32"/>
        </w:rPr>
      </w:pPr>
      <w:r>
        <w:rPr>
          <w:rFonts w:ascii="Times New Roman" w:hAnsi="Times New Roman" w:eastAsia="仿宋_GB2312" w:cs="Times New Roman"/>
          <w:sz w:val="32"/>
          <w:szCs w:val="32"/>
        </w:rPr>
        <w:t>年   月   日</w:t>
      </w:r>
      <w:bookmarkEnd w:id="91"/>
      <w:bookmarkEnd w:id="92"/>
    </w:p>
    <w:p w14:paraId="63D14C6F">
      <w:pPr>
        <w:spacing w:line="578" w:lineRule="exact"/>
        <w:rPr>
          <w:rFonts w:hint="eastAsia" w:ascii="黑体" w:hAnsi="黑体" w:eastAsia="黑体" w:cs="黑体"/>
          <w:sz w:val="32"/>
          <w:szCs w:val="32"/>
        </w:rPr>
      </w:pPr>
      <w:r>
        <w:rPr>
          <w:rFonts w:ascii="Times New Roman" w:hAnsi="Times New Roman" w:eastAsia="宋体" w:cs="Times New Roman"/>
        </w:rPr>
        <w:br w:type="page"/>
      </w:r>
      <w:r>
        <w:rPr>
          <w:rFonts w:hint="eastAsia" w:ascii="黑体" w:hAnsi="黑体" w:eastAsia="黑体" w:cs="黑体"/>
          <w:sz w:val="32"/>
          <w:szCs w:val="32"/>
        </w:rPr>
        <w:t>附录</w:t>
      </w:r>
      <w:r>
        <w:rPr>
          <w:rFonts w:ascii="Times New Roman" w:hAnsi="Times New Roman" w:eastAsia="黑体" w:cs="Times New Roman"/>
          <w:sz w:val="32"/>
          <w:szCs w:val="32"/>
        </w:rPr>
        <w:t>2</w:t>
      </w:r>
    </w:p>
    <w:p w14:paraId="6F6E2B31">
      <w:pPr>
        <w:spacing w:line="578" w:lineRule="exact"/>
        <w:jc w:val="center"/>
        <w:rPr>
          <w:rFonts w:hint="eastAsia" w:ascii="黑体" w:hAnsi="黑体" w:eastAsia="黑体" w:cs="黑体"/>
          <w:bCs/>
        </w:rPr>
      </w:pPr>
      <w:r>
        <w:rPr>
          <w:rFonts w:hint="eastAsia" w:ascii="黑体" w:hAnsi="黑体" w:eastAsia="黑体" w:cs="黑体"/>
          <w:bCs/>
          <w:sz w:val="32"/>
          <w:szCs w:val="32"/>
        </w:rPr>
        <w:t>法定代表人授权书（法定代表人不能参加磋商时出具）</w:t>
      </w:r>
    </w:p>
    <w:p w14:paraId="707BF414">
      <w:pPr>
        <w:spacing w:line="360" w:lineRule="auto"/>
        <w:rPr>
          <w:rFonts w:hint="eastAsia" w:ascii="仿宋_GB2312" w:hAnsi="仿宋_GB2312" w:eastAsia="仿宋_GB2312" w:cs="仿宋_GB2312"/>
          <w:sz w:val="32"/>
          <w:szCs w:val="32"/>
        </w:rPr>
      </w:pPr>
    </w:p>
    <w:p w14:paraId="5E4F9814">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本授权书声明：注册于</w:t>
      </w:r>
      <w:r>
        <w:rPr>
          <w:rFonts w:hint="eastAsia" w:ascii="仿宋_GB2312" w:hAnsi="仿宋_GB2312" w:eastAsia="仿宋_GB2312" w:cs="仿宋_GB2312"/>
          <w:sz w:val="32"/>
          <w:szCs w:val="32"/>
          <w:u w:val="single"/>
        </w:rPr>
        <w:t>（国家或地区的名称）</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）的在下面签字的（</w:t>
      </w:r>
      <w:r>
        <w:rPr>
          <w:rFonts w:hint="eastAsia" w:ascii="仿宋_GB2312" w:hAnsi="仿宋_GB2312" w:eastAsia="仿宋_GB2312" w:cs="仿宋_GB2312"/>
          <w:sz w:val="32"/>
          <w:szCs w:val="32"/>
          <w:u w:val="single"/>
        </w:rPr>
        <w:t>法定人代表姓名、职务</w:t>
      </w:r>
      <w:r>
        <w:rPr>
          <w:rFonts w:hint="eastAsia" w:ascii="仿宋_GB2312" w:hAnsi="仿宋_GB2312" w:eastAsia="仿宋_GB2312" w:cs="仿宋_GB2312"/>
          <w:sz w:val="32"/>
          <w:szCs w:val="32"/>
        </w:rPr>
        <w:t>）代表本公司授权（</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）的在下面签字的（</w:t>
      </w:r>
      <w:r>
        <w:rPr>
          <w:rFonts w:hint="eastAsia" w:ascii="仿宋_GB2312" w:hAnsi="仿宋_GB2312" w:eastAsia="仿宋_GB2312" w:cs="仿宋_GB2312"/>
          <w:sz w:val="32"/>
          <w:szCs w:val="32"/>
          <w:u w:val="single"/>
        </w:rPr>
        <w:t>被授权人的姓名、职务</w:t>
      </w:r>
      <w:r>
        <w:rPr>
          <w:rFonts w:hint="eastAsia" w:ascii="仿宋_GB2312" w:hAnsi="仿宋_GB2312" w:eastAsia="仿宋_GB2312" w:cs="仿宋_GB2312"/>
          <w:sz w:val="32"/>
          <w:szCs w:val="32"/>
        </w:rPr>
        <w:t>）为本公司的合法代理人，就（“土溪口水库工程安全度汛技术咨询服务”竞争性磋商活动，以本公司名义处理一切与之有关的事务。</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　　本授权书于__________年_____月______日签字生效，特此声明。</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rPr>
        <w:t>法定代表人签字(或盖章)_____________________</w:t>
      </w:r>
    </w:p>
    <w:p w14:paraId="2E8A1800">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被授权人签字_______________________________</w:t>
      </w:r>
    </w:p>
    <w:p w14:paraId="02C77E96">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供应商盖章：</w:t>
      </w:r>
    </w:p>
    <w:p w14:paraId="3A4FF804">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p>
    <w:p w14:paraId="28EA7BC9">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被授权人姓名：</w:t>
      </w:r>
    </w:p>
    <w:p w14:paraId="469B9FB1">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　　　　务：</w:t>
      </w:r>
    </w:p>
    <w:p w14:paraId="5B4A22B0">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详细通讯地址：</w:t>
      </w:r>
    </w:p>
    <w:p w14:paraId="4621AE87">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 政  编 码：</w:t>
      </w:r>
    </w:p>
    <w:p w14:paraId="15313CCC">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　　　　真：</w:t>
      </w:r>
    </w:p>
    <w:p w14:paraId="2DD1C36E">
      <w:pPr>
        <w:spacing w:line="360" w:lineRule="auto"/>
        <w:rPr>
          <w:rFonts w:hint="eastAsia" w:ascii="仿宋_GB2312" w:hAnsi="仿宋_GB2312" w:eastAsia="仿宋_GB2312" w:cs="仿宋_GB2312"/>
          <w:sz w:val="32"/>
          <w:szCs w:val="32"/>
        </w:rPr>
        <w:sectPr>
          <w:pgSz w:w="11907" w:h="16840"/>
          <w:pgMar w:top="1304" w:right="1418" w:bottom="1247" w:left="1418" w:header="851" w:footer="992" w:gutter="0"/>
          <w:pgNumType w:fmt="numberInDash"/>
          <w:cols w:space="720" w:num="1"/>
        </w:sectPr>
      </w:pPr>
      <w:r>
        <w:rPr>
          <w:rFonts w:hint="eastAsia" w:ascii="仿宋_GB2312" w:hAnsi="仿宋_GB2312" w:eastAsia="仿宋_GB2312" w:cs="仿宋_GB2312"/>
          <w:sz w:val="32"/>
          <w:szCs w:val="32"/>
        </w:rPr>
        <w:t>电　　　　话：</w:t>
      </w:r>
      <w:bookmarkStart w:id="93" w:name="_Toc307662342"/>
      <w:bookmarkStart w:id="94" w:name="_Toc217446090"/>
      <w:bookmarkStart w:id="95" w:name="_Toc309312996"/>
      <w:bookmarkStart w:id="96" w:name="_Toc404244923"/>
      <w:bookmarkStart w:id="97" w:name="_Toc387242490"/>
      <w:bookmarkStart w:id="98" w:name="_Toc262396942"/>
    </w:p>
    <w:p w14:paraId="2AB96EE0">
      <w:pPr>
        <w:spacing w:line="360" w:lineRule="auto"/>
        <w:rPr>
          <w:rFonts w:ascii="Times New Roman" w:hAnsi="Times New Roman" w:eastAsia="黑体" w:cs="Times New Roman"/>
          <w:sz w:val="32"/>
          <w:szCs w:val="32"/>
        </w:rPr>
      </w:pPr>
      <w:r>
        <w:rPr>
          <w:rFonts w:ascii="Times New Roman" w:hAnsi="Times New Roman" w:eastAsia="黑体" w:cs="Times New Roman"/>
          <w:sz w:val="32"/>
          <w:szCs w:val="32"/>
        </w:rPr>
        <w:t>附录3</w:t>
      </w:r>
    </w:p>
    <w:p w14:paraId="26DF5BE5">
      <w:pPr>
        <w:spacing w:line="578" w:lineRule="exact"/>
        <w:jc w:val="center"/>
        <w:rPr>
          <w:rFonts w:hint="eastAsia" w:ascii="黑体" w:hAnsi="黑体" w:eastAsia="黑体" w:cs="黑体"/>
          <w:sz w:val="32"/>
          <w:szCs w:val="32"/>
        </w:rPr>
      </w:pPr>
      <w:r>
        <w:rPr>
          <w:rFonts w:hint="eastAsia" w:ascii="黑体" w:hAnsi="黑体" w:eastAsia="黑体" w:cs="黑体"/>
          <w:sz w:val="32"/>
          <w:szCs w:val="32"/>
        </w:rPr>
        <w:t>报 价 表</w:t>
      </w:r>
    </w:p>
    <w:p w14:paraId="61D535D5">
      <w:pPr>
        <w:spacing w:line="360" w:lineRule="auto"/>
        <w:jc w:val="left"/>
        <w:rPr>
          <w:rFonts w:hint="eastAsia" w:ascii="仿宋_GB2312" w:hAnsi="仿宋_GB2312" w:eastAsia="仿宋_GB2312" w:cs="仿宋_GB2312"/>
          <w:sz w:val="32"/>
          <w:szCs w:val="32"/>
        </w:rPr>
      </w:pPr>
    </w:p>
    <w:p w14:paraId="4B7F1DD2">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供应商名称:___________ 项目编号:___________单位：人民币元</w:t>
      </w:r>
    </w:p>
    <w:tbl>
      <w:tblPr>
        <w:tblStyle w:val="11"/>
        <w:tblW w:w="903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4"/>
        <w:gridCol w:w="2018"/>
        <w:gridCol w:w="1213"/>
        <w:gridCol w:w="1234"/>
        <w:gridCol w:w="1569"/>
      </w:tblGrid>
      <w:tr w14:paraId="2E90BE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trPr>
        <w:tc>
          <w:tcPr>
            <w:tcW w:w="3004" w:type="dxa"/>
            <w:vAlign w:val="center"/>
          </w:tcPr>
          <w:p w14:paraId="66A7DB47">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2018" w:type="dxa"/>
            <w:vAlign w:val="center"/>
          </w:tcPr>
          <w:p w14:paraId="50941267">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服务费（元）</w:t>
            </w:r>
          </w:p>
        </w:tc>
        <w:tc>
          <w:tcPr>
            <w:tcW w:w="1213" w:type="dxa"/>
            <w:vAlign w:val="center"/>
          </w:tcPr>
          <w:p w14:paraId="5B92CA90">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服务期</w:t>
            </w:r>
          </w:p>
        </w:tc>
        <w:tc>
          <w:tcPr>
            <w:tcW w:w="1234" w:type="dxa"/>
            <w:vAlign w:val="center"/>
          </w:tcPr>
          <w:p w14:paraId="2971EBA7">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w:t>
            </w:r>
          </w:p>
          <w:p w14:paraId="126A2A61">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w:t>
            </w:r>
          </w:p>
        </w:tc>
        <w:tc>
          <w:tcPr>
            <w:tcW w:w="1569" w:type="dxa"/>
            <w:vAlign w:val="center"/>
          </w:tcPr>
          <w:p w14:paraId="0DE8945F">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14:paraId="5106A8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734" w:hRule="atLeast"/>
        </w:trPr>
        <w:tc>
          <w:tcPr>
            <w:tcW w:w="3004" w:type="dxa"/>
            <w:vAlign w:val="center"/>
          </w:tcPr>
          <w:p w14:paraId="01F3AFF7">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土溪口水库工程</w:t>
            </w:r>
            <w:r>
              <w:rPr>
                <w:rFonts w:hint="eastAsia" w:ascii="仿宋_GB2312" w:hAnsi="仿宋_GB2312" w:eastAsia="仿宋_GB2312" w:cs="仿宋_GB2312"/>
                <w:sz w:val="32"/>
                <w:szCs w:val="32"/>
                <w:lang w:val="en-US" w:eastAsia="zh-CN"/>
              </w:rPr>
              <w:t>2026年</w:t>
            </w:r>
            <w:r>
              <w:rPr>
                <w:rFonts w:hint="eastAsia" w:ascii="仿宋_GB2312" w:hAnsi="仿宋_GB2312" w:eastAsia="仿宋_GB2312" w:cs="仿宋_GB2312"/>
                <w:sz w:val="32"/>
                <w:szCs w:val="32"/>
              </w:rPr>
              <w:t>安全度汛技术咨询服务项目</w:t>
            </w:r>
          </w:p>
        </w:tc>
        <w:tc>
          <w:tcPr>
            <w:tcW w:w="2018" w:type="dxa"/>
            <w:vAlign w:val="center"/>
          </w:tcPr>
          <w:p w14:paraId="7CB237C5">
            <w:pPr>
              <w:spacing w:line="360" w:lineRule="auto"/>
              <w:jc w:val="center"/>
              <w:rPr>
                <w:rFonts w:hint="eastAsia" w:ascii="仿宋_GB2312" w:hAnsi="仿宋_GB2312" w:eastAsia="仿宋_GB2312" w:cs="仿宋_GB2312"/>
                <w:sz w:val="32"/>
                <w:szCs w:val="32"/>
              </w:rPr>
            </w:pPr>
          </w:p>
        </w:tc>
        <w:tc>
          <w:tcPr>
            <w:tcW w:w="1213" w:type="dxa"/>
            <w:vAlign w:val="center"/>
          </w:tcPr>
          <w:p w14:paraId="5C1284BE">
            <w:pPr>
              <w:spacing w:line="360" w:lineRule="auto"/>
              <w:jc w:val="center"/>
              <w:rPr>
                <w:rFonts w:hint="eastAsia" w:ascii="仿宋_GB2312" w:hAnsi="仿宋_GB2312" w:eastAsia="仿宋_GB2312" w:cs="仿宋_GB2312"/>
                <w:sz w:val="32"/>
                <w:szCs w:val="32"/>
                <w:lang w:val="zh-CN"/>
              </w:rPr>
            </w:pPr>
          </w:p>
        </w:tc>
        <w:tc>
          <w:tcPr>
            <w:tcW w:w="1234" w:type="dxa"/>
            <w:vAlign w:val="center"/>
          </w:tcPr>
          <w:p w14:paraId="4D7B4776">
            <w:pPr>
              <w:spacing w:line="360" w:lineRule="auto"/>
              <w:jc w:val="center"/>
              <w:rPr>
                <w:rFonts w:hint="eastAsia" w:ascii="仿宋_GB2312" w:hAnsi="仿宋_GB2312" w:eastAsia="仿宋_GB2312" w:cs="仿宋_GB2312"/>
                <w:sz w:val="32"/>
                <w:szCs w:val="32"/>
                <w:lang w:val="zh-CN"/>
              </w:rPr>
            </w:pPr>
          </w:p>
        </w:tc>
        <w:tc>
          <w:tcPr>
            <w:tcW w:w="1569" w:type="dxa"/>
            <w:vAlign w:val="center"/>
          </w:tcPr>
          <w:p w14:paraId="0D715CED">
            <w:pPr>
              <w:spacing w:line="360" w:lineRule="auto"/>
              <w:jc w:val="left"/>
              <w:rPr>
                <w:rFonts w:hint="eastAsia" w:ascii="仿宋_GB2312" w:hAnsi="仿宋_GB2312" w:eastAsia="仿宋_GB2312" w:cs="仿宋_GB2312"/>
                <w:sz w:val="32"/>
                <w:szCs w:val="32"/>
              </w:rPr>
            </w:pPr>
          </w:p>
        </w:tc>
      </w:tr>
    </w:tbl>
    <w:p w14:paraId="077BC78B">
      <w:pPr>
        <w:spacing w:line="360" w:lineRule="auto"/>
        <w:jc w:val="left"/>
        <w:rPr>
          <w:rFonts w:hint="eastAsia" w:ascii="仿宋_GB2312" w:hAnsi="仿宋_GB2312" w:eastAsia="仿宋_GB2312" w:cs="仿宋_GB2312"/>
          <w:sz w:val="32"/>
          <w:szCs w:val="32"/>
        </w:rPr>
      </w:pPr>
    </w:p>
    <w:p w14:paraId="32A2CF14">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供应商名称（盖章）：</w:t>
      </w:r>
    </w:p>
    <w:p w14:paraId="2AEEF2DB">
      <w:pPr>
        <w:spacing w:line="360" w:lineRule="auto"/>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供应商授权代表(签章)：</w:t>
      </w:r>
    </w:p>
    <w:p w14:paraId="2BE78511">
      <w:pPr>
        <w:spacing w:line="360" w:lineRule="auto"/>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注：</w:t>
      </w:r>
      <w:r>
        <w:rPr>
          <w:rFonts w:hint="eastAsia" w:ascii="仿宋_GB2312" w:hAnsi="仿宋_GB2312" w:eastAsia="仿宋_GB2312" w:cs="仿宋_GB2312"/>
          <w:sz w:val="32"/>
          <w:szCs w:val="32"/>
        </w:rPr>
        <w:t>为方便开标唱标，此表应再密封标记一份并于磋商时单独递交。</w:t>
      </w:r>
    </w:p>
    <w:p w14:paraId="4F4D8C9A">
      <w:pPr>
        <w:spacing w:line="360" w:lineRule="auto"/>
        <w:rPr>
          <w:rFonts w:ascii="Times New Roman" w:hAnsi="Times New Roman" w:eastAsia="宋体" w:cs="Times New Roman"/>
        </w:rPr>
        <w:sectPr>
          <w:pgSz w:w="11907" w:h="16840"/>
          <w:pgMar w:top="1304" w:right="1418" w:bottom="1247" w:left="1418" w:header="851" w:footer="992" w:gutter="0"/>
          <w:pgNumType w:fmt="numberInDash"/>
          <w:cols w:space="720" w:num="1"/>
          <w:docGrid w:linePitch="326" w:charSpace="0"/>
        </w:sectPr>
      </w:pPr>
      <w:r>
        <w:rPr>
          <w:rFonts w:ascii="Times New Roman" w:hAnsi="Times New Roman" w:eastAsia="宋体" w:cs="Times New Roman"/>
        </w:rPr>
        <w:t xml:space="preserve">  </w:t>
      </w:r>
    </w:p>
    <w:p w14:paraId="5518FBCB">
      <w:pPr>
        <w:spacing w:line="578" w:lineRule="exact"/>
        <w:rPr>
          <w:rFonts w:hint="eastAsia" w:ascii="黑体" w:hAnsi="黑体" w:eastAsia="黑体" w:cs="黑体"/>
          <w:sz w:val="32"/>
          <w:szCs w:val="32"/>
        </w:rPr>
      </w:pPr>
      <w:r>
        <w:rPr>
          <w:rFonts w:hint="eastAsia" w:ascii="黑体" w:hAnsi="黑体" w:eastAsia="黑体" w:cs="黑体"/>
          <w:sz w:val="32"/>
          <w:szCs w:val="32"/>
        </w:rPr>
        <w:t>附录4</w:t>
      </w:r>
    </w:p>
    <w:p w14:paraId="3A808A77">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企业或机构相关证件，例如：营业执照、单位资质、人员资格证书及注册信息等相关文件（复印件，须加盖供应商公章）</w:t>
      </w:r>
    </w:p>
    <w:p w14:paraId="704CCA66">
      <w:pPr>
        <w:spacing w:line="578" w:lineRule="exact"/>
        <w:rPr>
          <w:rFonts w:ascii="Times New Roman" w:hAnsi="Times New Roman" w:eastAsia="宋体" w:cs="Times New Roman"/>
        </w:rPr>
      </w:pPr>
    </w:p>
    <w:p w14:paraId="4CFD9CB8">
      <w:pPr>
        <w:spacing w:line="578" w:lineRule="exact"/>
        <w:rPr>
          <w:rFonts w:ascii="Times New Roman" w:hAnsi="Times New Roman" w:eastAsia="宋体" w:cs="Times New Roman"/>
        </w:rPr>
      </w:pPr>
    </w:p>
    <w:p w14:paraId="38722DD0">
      <w:pPr>
        <w:spacing w:line="360" w:lineRule="auto"/>
        <w:rPr>
          <w:rFonts w:ascii="Times New Roman" w:hAnsi="Times New Roman" w:eastAsia="宋体" w:cs="Times New Roman"/>
        </w:rPr>
      </w:pPr>
    </w:p>
    <w:p w14:paraId="0F545EC8">
      <w:pPr>
        <w:spacing w:line="360" w:lineRule="auto"/>
        <w:rPr>
          <w:rFonts w:hint="eastAsia" w:ascii="仿宋_GB2312" w:hAnsi="仿宋_GB2312" w:eastAsia="仿宋_GB2312" w:cs="仿宋_GB2312"/>
          <w:sz w:val="32"/>
          <w:szCs w:val="32"/>
        </w:rPr>
      </w:pPr>
      <w:r>
        <w:rPr>
          <w:rFonts w:ascii="Times New Roman" w:hAnsi="Times New Roman" w:eastAsia="宋体" w:cs="Times New Roman"/>
        </w:rPr>
        <w:br w:type="page"/>
      </w:r>
      <w:r>
        <w:rPr>
          <w:rFonts w:hint="eastAsia" w:ascii="黑体" w:hAnsi="黑体" w:eastAsia="黑体" w:cs="黑体"/>
          <w:sz w:val="32"/>
          <w:szCs w:val="32"/>
        </w:rPr>
        <w:t>附录</w:t>
      </w:r>
      <w:r>
        <w:rPr>
          <w:rFonts w:ascii="Times New Roman" w:hAnsi="Times New Roman" w:eastAsia="仿宋_GB2312" w:cs="Times New Roman"/>
          <w:sz w:val="32"/>
          <w:szCs w:val="32"/>
        </w:rPr>
        <w:t>5</w:t>
      </w:r>
    </w:p>
    <w:p w14:paraId="32C4C672">
      <w:pPr>
        <w:spacing w:line="578" w:lineRule="exact"/>
        <w:ind w:firstLine="640" w:firstLineChars="200"/>
        <w:rPr>
          <w:rFonts w:hint="eastAsia" w:ascii="黑体" w:hAnsi="黑体" w:eastAsia="黑体" w:cs="黑体"/>
          <w:sz w:val="32"/>
          <w:szCs w:val="32"/>
        </w:rPr>
      </w:pPr>
      <w:r>
        <w:rPr>
          <w:rFonts w:hint="eastAsia" w:ascii="仿宋_GB2312" w:hAnsi="仿宋_GB2312" w:eastAsia="仿宋_GB2312" w:cs="仿宋_GB2312"/>
          <w:kern w:val="0"/>
          <w:sz w:val="32"/>
          <w:szCs w:val="32"/>
          <w:lang w:val="zh-CN"/>
        </w:rPr>
        <w:t>健全的财务会计制度：近3年任意年度经审计财务报表或内部财务报表或健全的财务制度均可。</w:t>
      </w:r>
      <w:r>
        <w:rPr>
          <w:rFonts w:hint="eastAsia" w:ascii="仿宋_GB2312" w:hAnsi="仿宋_GB2312" w:eastAsia="仿宋_GB2312" w:cs="仿宋_GB2312"/>
          <w:kern w:val="0"/>
          <w:sz w:val="32"/>
          <w:szCs w:val="32"/>
          <w:lang w:val="zh-CN"/>
        </w:rPr>
        <w:br w:type="page"/>
      </w:r>
      <w:r>
        <w:rPr>
          <w:rFonts w:hint="eastAsia" w:ascii="黑体" w:hAnsi="黑体" w:eastAsia="黑体" w:cs="黑体"/>
          <w:sz w:val="32"/>
          <w:szCs w:val="32"/>
        </w:rPr>
        <w:t>附录</w:t>
      </w:r>
      <w:r>
        <w:rPr>
          <w:rFonts w:ascii="Times New Roman" w:hAnsi="Times New Roman" w:eastAsia="黑体" w:cs="Times New Roman"/>
          <w:sz w:val="32"/>
          <w:szCs w:val="32"/>
        </w:rPr>
        <w:t>6</w:t>
      </w:r>
    </w:p>
    <w:p w14:paraId="38810DFC">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有依法缴纳社会保障资金的良好记录：供应商须提供参加本次政府采购活动最近半年内任意一个月的缴纳社会保障资金的有效票据凭证（须加盖供应商公章）或供应商的承诺书（格式自制）。</w:t>
      </w:r>
    </w:p>
    <w:p w14:paraId="3ECC4CE5">
      <w:pPr>
        <w:spacing w:line="360" w:lineRule="auto"/>
        <w:rPr>
          <w:rFonts w:hint="eastAsia" w:ascii="仿宋_GB2312" w:hAnsi="仿宋_GB2312" w:eastAsia="仿宋_GB2312" w:cs="仿宋_GB2312"/>
          <w:sz w:val="32"/>
          <w:szCs w:val="32"/>
        </w:rPr>
      </w:pPr>
    </w:p>
    <w:p w14:paraId="3EAEB114">
      <w:pPr>
        <w:spacing w:line="578" w:lineRule="exact"/>
        <w:rPr>
          <w:rFonts w:hint="eastAsia" w:ascii="仿宋_GB2312" w:hAnsi="仿宋_GB2312" w:eastAsia="仿宋_GB2312" w:cs="仿宋_GB2312"/>
          <w:sz w:val="32"/>
          <w:szCs w:val="32"/>
        </w:rPr>
      </w:pPr>
      <w:r>
        <w:rPr>
          <w:rFonts w:ascii="Times New Roman" w:hAnsi="Times New Roman" w:eastAsia="宋体" w:cs="Times New Roman"/>
        </w:rPr>
        <w:br w:type="page"/>
      </w:r>
      <w:r>
        <w:rPr>
          <w:rFonts w:ascii="Times New Roman" w:hAnsi="Times New Roman" w:eastAsia="黑体" w:cs="Times New Roman"/>
          <w:sz w:val="32"/>
          <w:szCs w:val="32"/>
        </w:rPr>
        <w:t>附</w:t>
      </w:r>
      <w:r>
        <w:rPr>
          <w:rFonts w:hint="eastAsia" w:ascii="Times New Roman" w:hAnsi="Times New Roman" w:eastAsia="黑体" w:cs="Times New Roman"/>
          <w:sz w:val="32"/>
          <w:szCs w:val="32"/>
        </w:rPr>
        <w:t>录</w:t>
      </w:r>
      <w:r>
        <w:rPr>
          <w:rFonts w:ascii="Times New Roman" w:hAnsi="Times New Roman" w:eastAsia="黑体" w:cs="Times New Roman"/>
          <w:sz w:val="32"/>
          <w:szCs w:val="32"/>
        </w:rPr>
        <w:t>7</w:t>
      </w:r>
    </w:p>
    <w:p w14:paraId="0841D983">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有依法缴纳税收的良好记录：供应商须提供参加本次政府采购活动最近半年内任意一个月的纳税有效凭据（须加盖供应商公章）或供应商的承诺书（格式自制）。</w:t>
      </w:r>
    </w:p>
    <w:p w14:paraId="2E02851D">
      <w:pPr>
        <w:spacing w:line="360" w:lineRule="auto"/>
        <w:rPr>
          <w:rFonts w:hint="eastAsia" w:ascii="仿宋_GB2312" w:hAnsi="仿宋_GB2312" w:eastAsia="仿宋_GB2312" w:cs="仿宋_GB2312"/>
          <w:sz w:val="32"/>
          <w:szCs w:val="32"/>
        </w:rPr>
      </w:pPr>
    </w:p>
    <w:p w14:paraId="31B983D3">
      <w:pPr>
        <w:spacing w:line="360" w:lineRule="auto"/>
        <w:rPr>
          <w:rFonts w:hint="eastAsia" w:ascii="仿宋_GB2312" w:hAnsi="仿宋_GB2312" w:eastAsia="仿宋_GB2312" w:cs="仿宋_GB2312"/>
          <w:sz w:val="32"/>
          <w:szCs w:val="32"/>
        </w:rPr>
      </w:pPr>
    </w:p>
    <w:p w14:paraId="35030AC6">
      <w:pPr>
        <w:spacing w:line="360" w:lineRule="auto"/>
        <w:rPr>
          <w:rFonts w:ascii="Times New Roman" w:hAnsi="Times New Roman" w:eastAsia="宋体" w:cs="Times New Roman"/>
        </w:rPr>
      </w:pPr>
    </w:p>
    <w:p w14:paraId="50C10E98">
      <w:pPr>
        <w:spacing w:line="578" w:lineRule="exact"/>
        <w:rPr>
          <w:rFonts w:ascii="Times New Roman" w:hAnsi="Times New Roman" w:eastAsia="黑体" w:cs="Times New Roman"/>
          <w:sz w:val="32"/>
          <w:szCs w:val="32"/>
        </w:rPr>
      </w:pPr>
      <w:r>
        <w:rPr>
          <w:rFonts w:ascii="Times New Roman" w:hAnsi="Times New Roman" w:eastAsia="宋体" w:cs="Times New Roman"/>
        </w:rPr>
        <w:br w:type="page"/>
      </w:r>
      <w:r>
        <w:rPr>
          <w:rFonts w:ascii="Times New Roman" w:hAnsi="Times New Roman" w:eastAsia="黑体" w:cs="Times New Roman"/>
          <w:sz w:val="32"/>
          <w:szCs w:val="32"/>
        </w:rPr>
        <w:t>附录8</w:t>
      </w:r>
    </w:p>
    <w:p w14:paraId="1959ADB2">
      <w:p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参加本次政府采购活动前三年内在经营活动中没有重大违法记录的声明（供应商须提供此声明，法定代表人或被授权人签字，加盖本单位公章。按《磋商文件》格式填写）。</w:t>
      </w:r>
    </w:p>
    <w:p w14:paraId="20693C4A">
      <w:pPr>
        <w:spacing w:line="578" w:lineRule="exact"/>
        <w:rPr>
          <w:rFonts w:hint="eastAsia" w:ascii="仿宋_GB2312" w:hAnsi="仿宋_GB2312" w:eastAsia="仿宋_GB2312" w:cs="仿宋_GB2312"/>
          <w:sz w:val="32"/>
          <w:szCs w:val="32"/>
        </w:rPr>
      </w:pPr>
    </w:p>
    <w:p w14:paraId="003AA65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（采购人名称）</w:t>
      </w:r>
      <w:r>
        <w:rPr>
          <w:rFonts w:hint="eastAsia" w:ascii="仿宋_GB2312" w:hAnsi="仿宋_GB2312" w:eastAsia="仿宋_GB2312" w:cs="仿宋_GB2312"/>
          <w:sz w:val="32"/>
          <w:szCs w:val="32"/>
        </w:rPr>
        <w:t>：</w:t>
      </w:r>
    </w:p>
    <w:p w14:paraId="650B5D8C">
      <w:pPr>
        <w:spacing w:line="360" w:lineRule="auto"/>
        <w:rPr>
          <w:rFonts w:hint="eastAsia" w:ascii="仿宋_GB2312" w:hAnsi="仿宋_GB2312" w:eastAsia="仿宋_GB2312" w:cs="仿宋_GB2312"/>
          <w:sz w:val="32"/>
          <w:szCs w:val="32"/>
        </w:rPr>
      </w:pPr>
    </w:p>
    <w:p w14:paraId="0010A1D3">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我公司在参加本次政府采购活动前三年内，在经营活动中没有重大违法记录。</w:t>
      </w:r>
    </w:p>
    <w:p w14:paraId="191CD4FA">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14:paraId="02232C94">
      <w:pPr>
        <w:spacing w:line="360" w:lineRule="auto"/>
        <w:rPr>
          <w:rFonts w:hint="eastAsia" w:ascii="仿宋_GB2312" w:hAnsi="仿宋_GB2312" w:eastAsia="仿宋_GB2312" w:cs="仿宋_GB2312"/>
          <w:sz w:val="32"/>
          <w:szCs w:val="32"/>
        </w:rPr>
      </w:pPr>
    </w:p>
    <w:p w14:paraId="1A71DBEA">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法定代表人本人或被授权人签字或签章：</w:t>
      </w:r>
    </w:p>
    <w:p w14:paraId="1D0E5F7F">
      <w:pPr>
        <w:spacing w:line="360" w:lineRule="auto"/>
        <w:rPr>
          <w:rFonts w:hint="eastAsia" w:ascii="仿宋_GB2312" w:hAnsi="仿宋_GB2312" w:eastAsia="仿宋_GB2312" w:cs="仿宋_GB2312"/>
          <w:sz w:val="32"/>
          <w:szCs w:val="32"/>
        </w:rPr>
      </w:pPr>
    </w:p>
    <w:p w14:paraId="4B7247FF">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供应商公章：</w:t>
      </w:r>
    </w:p>
    <w:p w14:paraId="7A40E67D">
      <w:pPr>
        <w:spacing w:line="360" w:lineRule="auto"/>
        <w:rPr>
          <w:rFonts w:hint="eastAsia" w:ascii="仿宋_GB2312" w:hAnsi="仿宋_GB2312" w:eastAsia="仿宋_GB2312" w:cs="仿宋_GB2312"/>
          <w:sz w:val="32"/>
          <w:szCs w:val="32"/>
        </w:rPr>
      </w:pPr>
    </w:p>
    <w:p w14:paraId="452DA569">
      <w:pPr>
        <w:spacing w:line="360" w:lineRule="auto"/>
        <w:rPr>
          <w:rFonts w:ascii="Times New Roman" w:hAnsi="Times New Roman" w:eastAsia="宋体" w:cs="Times New Roman"/>
        </w:rPr>
        <w:sectPr>
          <w:pgSz w:w="11907" w:h="16840"/>
          <w:pgMar w:top="1304" w:right="1418" w:bottom="1247" w:left="1418" w:header="851" w:footer="992" w:gutter="0"/>
          <w:pgNumType w:fmt="numberInDash"/>
          <w:cols w:space="720" w:num="1"/>
        </w:sectPr>
      </w:pPr>
      <w:r>
        <w:rPr>
          <w:rFonts w:hint="eastAsia" w:ascii="仿宋_GB2312" w:hAnsi="仿宋_GB2312" w:eastAsia="仿宋_GB2312" w:cs="仿宋_GB2312"/>
          <w:sz w:val="32"/>
          <w:szCs w:val="32"/>
        </w:rPr>
        <w:t xml:space="preserve">                   年  月  日</w:t>
      </w:r>
    </w:p>
    <w:p w14:paraId="293EBFAB">
      <w:pPr>
        <w:spacing w:line="578" w:lineRule="exact"/>
        <w:rPr>
          <w:rFonts w:ascii="Times New Roman" w:hAnsi="Times New Roman" w:eastAsia="黑体" w:cs="Times New Roman"/>
          <w:sz w:val="32"/>
          <w:szCs w:val="32"/>
        </w:rPr>
      </w:pPr>
      <w:bookmarkStart w:id="99" w:name="_Toc315710858"/>
      <w:bookmarkStart w:id="100" w:name="_Toc459046486"/>
      <w:bookmarkStart w:id="101" w:name="_Toc387242491"/>
      <w:r>
        <w:rPr>
          <w:rFonts w:ascii="Times New Roman" w:hAnsi="Times New Roman" w:eastAsia="黑体" w:cs="Times New Roman"/>
          <w:sz w:val="32"/>
          <w:szCs w:val="32"/>
        </w:rPr>
        <w:t>附</w:t>
      </w:r>
      <w:r>
        <w:rPr>
          <w:rFonts w:hint="eastAsia" w:ascii="Times New Roman" w:hAnsi="Times New Roman" w:eastAsia="黑体" w:cs="Times New Roman"/>
          <w:sz w:val="32"/>
          <w:szCs w:val="32"/>
        </w:rPr>
        <w:t>录</w:t>
      </w:r>
      <w:r>
        <w:rPr>
          <w:rFonts w:ascii="Times New Roman" w:hAnsi="Times New Roman" w:eastAsia="黑体" w:cs="Times New Roman"/>
          <w:sz w:val="32"/>
          <w:szCs w:val="32"/>
        </w:rPr>
        <w:t>9</w:t>
      </w:r>
      <w:bookmarkStart w:id="102" w:name="_Hlk7592705"/>
    </w:p>
    <w:p w14:paraId="674BC2A9">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供应商近三年</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年1月1日起至响应文件递交截止之日前3日内）未</w:t>
      </w:r>
      <w:r>
        <w:rPr>
          <w:rFonts w:hint="eastAsia" w:ascii="仿宋_GB2312" w:hAnsi="仿宋_GB2312" w:eastAsia="仿宋_GB2312" w:cs="仿宋_GB2312"/>
          <w:sz w:val="32"/>
          <w:szCs w:val="32"/>
        </w:rPr>
        <w:t>被“信用中国”网站及“中国政府采购网”网站列入失信被执行人、税收违法黑名单、政府采购严重违法失信行为记录名单。</w:t>
      </w:r>
      <w:bookmarkEnd w:id="102"/>
    </w:p>
    <w:p w14:paraId="6077A86E">
      <w:pPr>
        <w:pStyle w:val="4"/>
        <w:spacing w:after="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）供应商须提交在规定网站查询到的信用记录结果网页截屏，并加盖供应商公章。</w:t>
      </w:r>
    </w:p>
    <w:p w14:paraId="69857866">
      <w:pPr>
        <w:pStyle w:val="4"/>
        <w:spacing w:after="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）网页截屏中应能显示公司名称、信用记录情况、查询时间等主要内容（查询时间范围应为本项目磋商文件发出之日至磋商截止日之间）。</w:t>
      </w:r>
    </w:p>
    <w:p w14:paraId="0DB8EDC4">
      <w:pPr>
        <w:pStyle w:val="4"/>
        <w:spacing w:after="0" w:line="578" w:lineRule="exact"/>
        <w:ind w:firstLine="640" w:firstLineChars="200"/>
        <w:rPr>
          <w:rFonts w:hint="eastAsia" w:ascii="仿宋_GB2312" w:hAnsi="仿宋_GB2312" w:eastAsia="仿宋_GB2312" w:cs="仿宋_GB2312"/>
          <w:sz w:val="32"/>
          <w:szCs w:val="32"/>
        </w:rPr>
        <w:sectPr>
          <w:headerReference r:id="rId6" w:type="default"/>
          <w:type w:val="continuous"/>
          <w:pgSz w:w="11906" w:h="16838"/>
          <w:pgMar w:top="1440" w:right="1800" w:bottom="1440" w:left="1800" w:header="851" w:footer="992" w:gutter="0"/>
          <w:pgNumType w:fmt="numberInDash"/>
          <w:cols w:space="720" w:num="1"/>
          <w:docGrid w:linePitch="312" w:charSpace="0"/>
        </w:sectPr>
      </w:pP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）信用记录网页查询结果包括：无法查到相关信息、无不良记录、有不良记录三种情形。前两种情形视为无不良记录。</w:t>
      </w:r>
    </w:p>
    <w:p w14:paraId="0E636305">
      <w:pPr>
        <w:spacing w:line="578" w:lineRule="exact"/>
        <w:rPr>
          <w:rFonts w:ascii="Times New Roman" w:hAnsi="Times New Roman" w:eastAsia="黑体" w:cs="Times New Roman"/>
          <w:sz w:val="32"/>
          <w:szCs w:val="32"/>
        </w:rPr>
      </w:pPr>
      <w:r>
        <w:rPr>
          <w:rFonts w:ascii="Times New Roman" w:hAnsi="Times New Roman" w:eastAsia="黑体" w:cs="Times New Roman"/>
          <w:sz w:val="32"/>
          <w:szCs w:val="32"/>
        </w:rPr>
        <w:t>附录10</w:t>
      </w:r>
    </w:p>
    <w:p w14:paraId="15DA7097">
      <w:pPr>
        <w:spacing w:line="578" w:lineRule="exact"/>
        <w:jc w:val="center"/>
        <w:rPr>
          <w:rFonts w:hint="eastAsia" w:ascii="黑体" w:hAnsi="黑体" w:eastAsia="黑体" w:cs="黑体"/>
          <w:sz w:val="32"/>
          <w:szCs w:val="32"/>
        </w:rPr>
      </w:pPr>
      <w:r>
        <w:rPr>
          <w:rFonts w:hint="eastAsia" w:ascii="黑体" w:hAnsi="黑体" w:eastAsia="黑体" w:cs="黑体"/>
          <w:sz w:val="32"/>
          <w:szCs w:val="32"/>
        </w:rPr>
        <w:t>商务条款偏离表</w:t>
      </w:r>
      <w:bookmarkEnd w:id="99"/>
      <w:bookmarkEnd w:id="100"/>
      <w:bookmarkEnd w:id="101"/>
    </w:p>
    <w:p w14:paraId="781E060D">
      <w:pPr>
        <w:pStyle w:val="4"/>
        <w:rPr>
          <w:rFonts w:hint="eastAsia" w:ascii="仿宋_GB2312" w:hAnsi="仿宋_GB2312" w:eastAsia="仿宋_GB2312" w:cs="仿宋_GB2312"/>
          <w:sz w:val="32"/>
          <w:szCs w:val="32"/>
        </w:rPr>
      </w:pPr>
    </w:p>
    <w:p w14:paraId="32DB1F94">
      <w:pPr>
        <w:rPr>
          <w:rFonts w:hint="eastAsia" w:ascii="仿宋_GB2312" w:hAnsi="仿宋_GB2312" w:eastAsia="仿宋_GB2312" w:cs="仿宋_GB2312"/>
          <w:sz w:val="32"/>
          <w:szCs w:val="32"/>
        </w:rPr>
      </w:pPr>
      <w:bookmarkStart w:id="103" w:name="_Toc32437"/>
      <w:r>
        <w:rPr>
          <w:rFonts w:hint="eastAsia" w:ascii="仿宋_GB2312" w:hAnsi="仿宋_GB2312" w:eastAsia="仿宋_GB2312" w:cs="仿宋_GB2312"/>
          <w:sz w:val="32"/>
          <w:szCs w:val="32"/>
        </w:rPr>
        <w:t>供应商名称:___________项目编号:_______________</w:t>
      </w:r>
      <w:bookmarkEnd w:id="103"/>
    </w:p>
    <w:tbl>
      <w:tblPr>
        <w:tblStyle w:val="11"/>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980"/>
        <w:gridCol w:w="1716"/>
        <w:gridCol w:w="2204"/>
        <w:gridCol w:w="1530"/>
      </w:tblGrid>
      <w:tr w14:paraId="3620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8" w:type="dxa"/>
            <w:vAlign w:val="center"/>
          </w:tcPr>
          <w:p w14:paraId="1B57382D">
            <w:pPr>
              <w:spacing w:line="360" w:lineRule="auto"/>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1980" w:type="dxa"/>
            <w:vAlign w:val="center"/>
          </w:tcPr>
          <w:p w14:paraId="0F8850DE">
            <w:pPr>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磋商文件</w:t>
            </w:r>
          </w:p>
          <w:p w14:paraId="7C12CDCB">
            <w:pPr>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条目号</w:t>
            </w:r>
          </w:p>
        </w:tc>
        <w:tc>
          <w:tcPr>
            <w:tcW w:w="1716" w:type="dxa"/>
            <w:vAlign w:val="center"/>
          </w:tcPr>
          <w:p w14:paraId="786DCE78">
            <w:pPr>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磋商文件要求</w:t>
            </w:r>
          </w:p>
        </w:tc>
        <w:tc>
          <w:tcPr>
            <w:tcW w:w="2204" w:type="dxa"/>
            <w:vAlign w:val="center"/>
          </w:tcPr>
          <w:p w14:paraId="2796B6D3">
            <w:pPr>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相应文件响应内容</w:t>
            </w:r>
          </w:p>
        </w:tc>
        <w:tc>
          <w:tcPr>
            <w:tcW w:w="1530" w:type="dxa"/>
            <w:vAlign w:val="center"/>
          </w:tcPr>
          <w:p w14:paraId="3454D947">
            <w:pPr>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对偏差的说明</w:t>
            </w:r>
          </w:p>
        </w:tc>
      </w:tr>
      <w:tr w14:paraId="035D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008" w:type="dxa"/>
            <w:vAlign w:val="center"/>
          </w:tcPr>
          <w:p w14:paraId="117C1D9D">
            <w:pPr>
              <w:spacing w:line="360" w:lineRule="auto"/>
              <w:jc w:val="left"/>
              <w:rPr>
                <w:rFonts w:hint="eastAsia" w:ascii="仿宋_GB2312" w:hAnsi="仿宋_GB2312" w:eastAsia="仿宋_GB2312" w:cs="仿宋_GB2312"/>
                <w:sz w:val="32"/>
                <w:szCs w:val="32"/>
              </w:rPr>
            </w:pPr>
          </w:p>
        </w:tc>
        <w:tc>
          <w:tcPr>
            <w:tcW w:w="1980" w:type="dxa"/>
            <w:vAlign w:val="center"/>
          </w:tcPr>
          <w:p w14:paraId="6188BFEA">
            <w:pPr>
              <w:spacing w:line="360" w:lineRule="auto"/>
              <w:jc w:val="left"/>
              <w:rPr>
                <w:rFonts w:hint="eastAsia" w:ascii="仿宋_GB2312" w:hAnsi="仿宋_GB2312" w:eastAsia="仿宋_GB2312" w:cs="仿宋_GB2312"/>
                <w:sz w:val="32"/>
                <w:szCs w:val="32"/>
              </w:rPr>
            </w:pPr>
          </w:p>
        </w:tc>
        <w:tc>
          <w:tcPr>
            <w:tcW w:w="1716" w:type="dxa"/>
            <w:vAlign w:val="center"/>
          </w:tcPr>
          <w:p w14:paraId="56375078">
            <w:pPr>
              <w:spacing w:line="360" w:lineRule="auto"/>
              <w:jc w:val="left"/>
              <w:rPr>
                <w:rFonts w:hint="eastAsia" w:ascii="仿宋_GB2312" w:hAnsi="仿宋_GB2312" w:eastAsia="仿宋_GB2312" w:cs="仿宋_GB2312"/>
                <w:sz w:val="32"/>
                <w:szCs w:val="32"/>
              </w:rPr>
            </w:pPr>
          </w:p>
        </w:tc>
        <w:tc>
          <w:tcPr>
            <w:tcW w:w="2204" w:type="dxa"/>
            <w:vAlign w:val="center"/>
          </w:tcPr>
          <w:p w14:paraId="2316EAFB">
            <w:pPr>
              <w:spacing w:line="360" w:lineRule="auto"/>
              <w:jc w:val="left"/>
              <w:rPr>
                <w:rFonts w:hint="eastAsia" w:ascii="仿宋_GB2312" w:hAnsi="仿宋_GB2312" w:eastAsia="仿宋_GB2312" w:cs="仿宋_GB2312"/>
                <w:sz w:val="32"/>
                <w:szCs w:val="32"/>
              </w:rPr>
            </w:pPr>
          </w:p>
        </w:tc>
        <w:tc>
          <w:tcPr>
            <w:tcW w:w="1530" w:type="dxa"/>
            <w:vAlign w:val="center"/>
          </w:tcPr>
          <w:p w14:paraId="41415B6D">
            <w:pPr>
              <w:spacing w:line="360" w:lineRule="auto"/>
              <w:jc w:val="left"/>
              <w:rPr>
                <w:rFonts w:hint="eastAsia" w:ascii="仿宋_GB2312" w:hAnsi="仿宋_GB2312" w:eastAsia="仿宋_GB2312" w:cs="仿宋_GB2312"/>
                <w:sz w:val="32"/>
                <w:szCs w:val="32"/>
              </w:rPr>
            </w:pPr>
          </w:p>
        </w:tc>
      </w:tr>
      <w:tr w14:paraId="1078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B6A9DC6">
            <w:pPr>
              <w:spacing w:line="360" w:lineRule="auto"/>
              <w:jc w:val="left"/>
              <w:rPr>
                <w:rFonts w:hint="eastAsia" w:ascii="仿宋_GB2312" w:hAnsi="仿宋_GB2312" w:eastAsia="仿宋_GB2312" w:cs="仿宋_GB2312"/>
                <w:sz w:val="32"/>
                <w:szCs w:val="32"/>
              </w:rPr>
            </w:pPr>
          </w:p>
        </w:tc>
        <w:tc>
          <w:tcPr>
            <w:tcW w:w="1980" w:type="dxa"/>
            <w:vAlign w:val="center"/>
          </w:tcPr>
          <w:p w14:paraId="343388A0">
            <w:pPr>
              <w:spacing w:line="360" w:lineRule="auto"/>
              <w:jc w:val="left"/>
              <w:rPr>
                <w:rFonts w:hint="eastAsia" w:ascii="仿宋_GB2312" w:hAnsi="仿宋_GB2312" w:eastAsia="仿宋_GB2312" w:cs="仿宋_GB2312"/>
                <w:sz w:val="32"/>
                <w:szCs w:val="32"/>
              </w:rPr>
            </w:pPr>
          </w:p>
        </w:tc>
        <w:tc>
          <w:tcPr>
            <w:tcW w:w="1716" w:type="dxa"/>
            <w:vAlign w:val="center"/>
          </w:tcPr>
          <w:p w14:paraId="380D37D8">
            <w:pPr>
              <w:spacing w:line="360" w:lineRule="auto"/>
              <w:jc w:val="left"/>
              <w:rPr>
                <w:rFonts w:hint="eastAsia" w:ascii="仿宋_GB2312" w:hAnsi="仿宋_GB2312" w:eastAsia="仿宋_GB2312" w:cs="仿宋_GB2312"/>
                <w:sz w:val="32"/>
                <w:szCs w:val="32"/>
              </w:rPr>
            </w:pPr>
          </w:p>
        </w:tc>
        <w:tc>
          <w:tcPr>
            <w:tcW w:w="2204" w:type="dxa"/>
            <w:vAlign w:val="center"/>
          </w:tcPr>
          <w:p w14:paraId="6E242B83">
            <w:pPr>
              <w:spacing w:line="360" w:lineRule="auto"/>
              <w:jc w:val="left"/>
              <w:rPr>
                <w:rFonts w:hint="eastAsia" w:ascii="仿宋_GB2312" w:hAnsi="仿宋_GB2312" w:eastAsia="仿宋_GB2312" w:cs="仿宋_GB2312"/>
                <w:sz w:val="32"/>
                <w:szCs w:val="32"/>
              </w:rPr>
            </w:pPr>
          </w:p>
        </w:tc>
        <w:tc>
          <w:tcPr>
            <w:tcW w:w="1530" w:type="dxa"/>
            <w:vAlign w:val="center"/>
          </w:tcPr>
          <w:p w14:paraId="7CA63CD1">
            <w:pPr>
              <w:spacing w:line="360" w:lineRule="auto"/>
              <w:jc w:val="left"/>
              <w:rPr>
                <w:rFonts w:hint="eastAsia" w:ascii="仿宋_GB2312" w:hAnsi="仿宋_GB2312" w:eastAsia="仿宋_GB2312" w:cs="仿宋_GB2312"/>
                <w:sz w:val="32"/>
                <w:szCs w:val="32"/>
              </w:rPr>
            </w:pPr>
          </w:p>
        </w:tc>
      </w:tr>
      <w:tr w14:paraId="04FB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C1A1EDF">
            <w:pPr>
              <w:spacing w:line="360" w:lineRule="auto"/>
              <w:jc w:val="left"/>
              <w:rPr>
                <w:rFonts w:hint="eastAsia" w:ascii="仿宋_GB2312" w:hAnsi="仿宋_GB2312" w:eastAsia="仿宋_GB2312" w:cs="仿宋_GB2312"/>
                <w:sz w:val="32"/>
                <w:szCs w:val="32"/>
              </w:rPr>
            </w:pPr>
          </w:p>
        </w:tc>
        <w:tc>
          <w:tcPr>
            <w:tcW w:w="1980" w:type="dxa"/>
            <w:vAlign w:val="center"/>
          </w:tcPr>
          <w:p w14:paraId="411F3078">
            <w:pPr>
              <w:spacing w:line="360" w:lineRule="auto"/>
              <w:jc w:val="left"/>
              <w:rPr>
                <w:rFonts w:hint="eastAsia" w:ascii="仿宋_GB2312" w:hAnsi="仿宋_GB2312" w:eastAsia="仿宋_GB2312" w:cs="仿宋_GB2312"/>
                <w:sz w:val="32"/>
                <w:szCs w:val="32"/>
              </w:rPr>
            </w:pPr>
          </w:p>
        </w:tc>
        <w:tc>
          <w:tcPr>
            <w:tcW w:w="1716" w:type="dxa"/>
            <w:vAlign w:val="center"/>
          </w:tcPr>
          <w:p w14:paraId="64935551">
            <w:pPr>
              <w:spacing w:line="360" w:lineRule="auto"/>
              <w:jc w:val="left"/>
              <w:rPr>
                <w:rFonts w:hint="eastAsia" w:ascii="仿宋_GB2312" w:hAnsi="仿宋_GB2312" w:eastAsia="仿宋_GB2312" w:cs="仿宋_GB2312"/>
                <w:sz w:val="32"/>
                <w:szCs w:val="32"/>
              </w:rPr>
            </w:pPr>
          </w:p>
        </w:tc>
        <w:tc>
          <w:tcPr>
            <w:tcW w:w="2204" w:type="dxa"/>
            <w:vAlign w:val="center"/>
          </w:tcPr>
          <w:p w14:paraId="033CE995">
            <w:pPr>
              <w:spacing w:line="360" w:lineRule="auto"/>
              <w:jc w:val="left"/>
              <w:rPr>
                <w:rFonts w:hint="eastAsia" w:ascii="仿宋_GB2312" w:hAnsi="仿宋_GB2312" w:eastAsia="仿宋_GB2312" w:cs="仿宋_GB2312"/>
                <w:sz w:val="32"/>
                <w:szCs w:val="32"/>
              </w:rPr>
            </w:pPr>
          </w:p>
        </w:tc>
        <w:tc>
          <w:tcPr>
            <w:tcW w:w="1530" w:type="dxa"/>
            <w:vAlign w:val="center"/>
          </w:tcPr>
          <w:p w14:paraId="52D9B4D9">
            <w:pPr>
              <w:spacing w:line="360" w:lineRule="auto"/>
              <w:jc w:val="left"/>
              <w:rPr>
                <w:rFonts w:hint="eastAsia" w:ascii="仿宋_GB2312" w:hAnsi="仿宋_GB2312" w:eastAsia="仿宋_GB2312" w:cs="仿宋_GB2312"/>
                <w:sz w:val="32"/>
                <w:szCs w:val="32"/>
              </w:rPr>
            </w:pPr>
          </w:p>
        </w:tc>
      </w:tr>
      <w:tr w14:paraId="05ED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812188C">
            <w:pPr>
              <w:spacing w:line="360" w:lineRule="auto"/>
              <w:jc w:val="left"/>
              <w:rPr>
                <w:rFonts w:hint="eastAsia" w:ascii="仿宋_GB2312" w:hAnsi="仿宋_GB2312" w:eastAsia="仿宋_GB2312" w:cs="仿宋_GB2312"/>
                <w:sz w:val="32"/>
                <w:szCs w:val="32"/>
              </w:rPr>
            </w:pPr>
          </w:p>
        </w:tc>
        <w:tc>
          <w:tcPr>
            <w:tcW w:w="1980" w:type="dxa"/>
            <w:vAlign w:val="center"/>
          </w:tcPr>
          <w:p w14:paraId="7944A13A">
            <w:pPr>
              <w:spacing w:line="360" w:lineRule="auto"/>
              <w:jc w:val="left"/>
              <w:rPr>
                <w:rFonts w:hint="eastAsia" w:ascii="仿宋_GB2312" w:hAnsi="仿宋_GB2312" w:eastAsia="仿宋_GB2312" w:cs="仿宋_GB2312"/>
                <w:sz w:val="32"/>
                <w:szCs w:val="32"/>
              </w:rPr>
            </w:pPr>
          </w:p>
        </w:tc>
        <w:tc>
          <w:tcPr>
            <w:tcW w:w="1716" w:type="dxa"/>
            <w:vAlign w:val="center"/>
          </w:tcPr>
          <w:p w14:paraId="58EA1D43">
            <w:pPr>
              <w:spacing w:line="360" w:lineRule="auto"/>
              <w:jc w:val="left"/>
              <w:rPr>
                <w:rFonts w:hint="eastAsia" w:ascii="仿宋_GB2312" w:hAnsi="仿宋_GB2312" w:eastAsia="仿宋_GB2312" w:cs="仿宋_GB2312"/>
                <w:sz w:val="32"/>
                <w:szCs w:val="32"/>
              </w:rPr>
            </w:pPr>
          </w:p>
        </w:tc>
        <w:tc>
          <w:tcPr>
            <w:tcW w:w="2204" w:type="dxa"/>
            <w:vAlign w:val="center"/>
          </w:tcPr>
          <w:p w14:paraId="28718276">
            <w:pPr>
              <w:spacing w:line="360" w:lineRule="auto"/>
              <w:jc w:val="left"/>
              <w:rPr>
                <w:rFonts w:hint="eastAsia" w:ascii="仿宋_GB2312" w:hAnsi="仿宋_GB2312" w:eastAsia="仿宋_GB2312" w:cs="仿宋_GB2312"/>
                <w:sz w:val="32"/>
                <w:szCs w:val="32"/>
              </w:rPr>
            </w:pPr>
          </w:p>
        </w:tc>
        <w:tc>
          <w:tcPr>
            <w:tcW w:w="1530" w:type="dxa"/>
            <w:vAlign w:val="center"/>
          </w:tcPr>
          <w:p w14:paraId="25A6AAA8">
            <w:pPr>
              <w:spacing w:line="360" w:lineRule="auto"/>
              <w:jc w:val="left"/>
              <w:rPr>
                <w:rFonts w:hint="eastAsia" w:ascii="仿宋_GB2312" w:hAnsi="仿宋_GB2312" w:eastAsia="仿宋_GB2312" w:cs="仿宋_GB2312"/>
                <w:sz w:val="32"/>
                <w:szCs w:val="32"/>
              </w:rPr>
            </w:pPr>
          </w:p>
        </w:tc>
      </w:tr>
      <w:tr w14:paraId="1F8C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B434716">
            <w:pPr>
              <w:spacing w:line="360" w:lineRule="auto"/>
              <w:jc w:val="left"/>
              <w:rPr>
                <w:rFonts w:hint="eastAsia" w:ascii="仿宋_GB2312" w:hAnsi="仿宋_GB2312" w:eastAsia="仿宋_GB2312" w:cs="仿宋_GB2312"/>
                <w:sz w:val="32"/>
                <w:szCs w:val="32"/>
              </w:rPr>
            </w:pPr>
          </w:p>
        </w:tc>
        <w:tc>
          <w:tcPr>
            <w:tcW w:w="1980" w:type="dxa"/>
            <w:vAlign w:val="center"/>
          </w:tcPr>
          <w:p w14:paraId="2F0AE00C">
            <w:pPr>
              <w:spacing w:line="360" w:lineRule="auto"/>
              <w:jc w:val="left"/>
              <w:rPr>
                <w:rFonts w:hint="eastAsia" w:ascii="仿宋_GB2312" w:hAnsi="仿宋_GB2312" w:eastAsia="仿宋_GB2312" w:cs="仿宋_GB2312"/>
                <w:sz w:val="32"/>
                <w:szCs w:val="32"/>
              </w:rPr>
            </w:pPr>
          </w:p>
        </w:tc>
        <w:tc>
          <w:tcPr>
            <w:tcW w:w="1716" w:type="dxa"/>
            <w:vAlign w:val="center"/>
          </w:tcPr>
          <w:p w14:paraId="4F420A05">
            <w:pPr>
              <w:spacing w:line="360" w:lineRule="auto"/>
              <w:jc w:val="left"/>
              <w:rPr>
                <w:rFonts w:hint="eastAsia" w:ascii="仿宋_GB2312" w:hAnsi="仿宋_GB2312" w:eastAsia="仿宋_GB2312" w:cs="仿宋_GB2312"/>
                <w:sz w:val="32"/>
                <w:szCs w:val="32"/>
              </w:rPr>
            </w:pPr>
          </w:p>
        </w:tc>
        <w:tc>
          <w:tcPr>
            <w:tcW w:w="2204" w:type="dxa"/>
            <w:vAlign w:val="center"/>
          </w:tcPr>
          <w:p w14:paraId="33873D9B">
            <w:pPr>
              <w:spacing w:line="360" w:lineRule="auto"/>
              <w:jc w:val="left"/>
              <w:rPr>
                <w:rFonts w:hint="eastAsia" w:ascii="仿宋_GB2312" w:hAnsi="仿宋_GB2312" w:eastAsia="仿宋_GB2312" w:cs="仿宋_GB2312"/>
                <w:sz w:val="32"/>
                <w:szCs w:val="32"/>
              </w:rPr>
            </w:pPr>
          </w:p>
        </w:tc>
        <w:tc>
          <w:tcPr>
            <w:tcW w:w="1530" w:type="dxa"/>
            <w:vAlign w:val="center"/>
          </w:tcPr>
          <w:p w14:paraId="66532A57">
            <w:pPr>
              <w:spacing w:line="360" w:lineRule="auto"/>
              <w:jc w:val="left"/>
              <w:rPr>
                <w:rFonts w:hint="eastAsia" w:ascii="仿宋_GB2312" w:hAnsi="仿宋_GB2312" w:eastAsia="仿宋_GB2312" w:cs="仿宋_GB2312"/>
                <w:sz w:val="32"/>
                <w:szCs w:val="32"/>
              </w:rPr>
            </w:pPr>
          </w:p>
        </w:tc>
      </w:tr>
    </w:tbl>
    <w:p w14:paraId="5FA4CB27">
      <w:pPr>
        <w:spacing w:line="360" w:lineRule="auto"/>
        <w:jc w:val="left"/>
        <w:rPr>
          <w:rFonts w:hint="eastAsia" w:ascii="仿宋_GB2312" w:hAnsi="仿宋_GB2312" w:eastAsia="仿宋_GB2312" w:cs="仿宋_GB2312"/>
          <w:sz w:val="32"/>
          <w:szCs w:val="32"/>
        </w:rPr>
      </w:pPr>
    </w:p>
    <w:p w14:paraId="50127A73">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授权代表签字：____________________________</w:t>
      </w:r>
    </w:p>
    <w:p w14:paraId="6FF05B1A">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供应商（盖章）:  _________________________</w:t>
      </w:r>
    </w:p>
    <w:p w14:paraId="72E3DFAA">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注意：供应商需按磋商文件中的要求作响应，若有偏离，偏离情况必须详细阐述。若无任何偏离，此表可全部填写“无”。</w:t>
      </w:r>
    </w:p>
    <w:p w14:paraId="2B087A44">
      <w:pPr>
        <w:rPr>
          <w:rFonts w:ascii="Times New Roman" w:hAnsi="Times New Roman" w:eastAsia="黑体" w:cs="Times New Roman"/>
          <w:sz w:val="32"/>
          <w:szCs w:val="32"/>
        </w:rPr>
      </w:pPr>
      <w:bookmarkStart w:id="104" w:name="_Toc217446091"/>
      <w:bookmarkStart w:id="105" w:name="_Toc262396943"/>
      <w:r>
        <w:rPr>
          <w:rFonts w:hint="eastAsia" w:ascii="仿宋_GB2312" w:hAnsi="仿宋_GB2312" w:eastAsia="仿宋_GB2312" w:cs="仿宋_GB2312"/>
          <w:sz w:val="32"/>
          <w:szCs w:val="32"/>
        </w:rPr>
        <w:br w:type="page"/>
      </w:r>
      <w:bookmarkEnd w:id="104"/>
      <w:bookmarkEnd w:id="105"/>
      <w:bookmarkStart w:id="106" w:name="_Toc459046489"/>
      <w:bookmarkStart w:id="107" w:name="_Toc17424"/>
      <w:r>
        <w:rPr>
          <w:rFonts w:ascii="Times New Roman" w:hAnsi="Times New Roman" w:eastAsia="黑体" w:cs="Times New Roman"/>
          <w:sz w:val="32"/>
          <w:szCs w:val="32"/>
        </w:rPr>
        <w:t>附录11</w:t>
      </w:r>
    </w:p>
    <w:p w14:paraId="7F473FC4">
      <w:pPr>
        <w:jc w:val="center"/>
        <w:rPr>
          <w:rFonts w:hint="eastAsia" w:ascii="黑体" w:hAnsi="黑体" w:eastAsia="黑体" w:cs="黑体"/>
          <w:sz w:val="32"/>
          <w:szCs w:val="32"/>
        </w:rPr>
      </w:pPr>
      <w:r>
        <w:rPr>
          <w:rFonts w:hint="eastAsia" w:ascii="黑体" w:hAnsi="黑体" w:eastAsia="黑体" w:cs="黑体"/>
          <w:sz w:val="32"/>
          <w:szCs w:val="32"/>
        </w:rPr>
        <w:t>服务方案</w:t>
      </w:r>
      <w:bookmarkEnd w:id="106"/>
      <w:bookmarkEnd w:id="107"/>
    </w:p>
    <w:p w14:paraId="2A9A06EF">
      <w:pPr>
        <w:pStyle w:val="6"/>
        <w:spacing w:before="120" w:after="120"/>
        <w:ind w:firstLine="640" w:firstLineChars="200"/>
        <w:rPr>
          <w:rFonts w:hint="eastAsia" w:ascii="仿宋_GB2312" w:hAnsi="仿宋_GB2312" w:eastAsia="仿宋_GB2312" w:cs="仿宋_GB2312"/>
          <w:sz w:val="32"/>
          <w:szCs w:val="32"/>
        </w:rPr>
        <w:sectPr>
          <w:pgSz w:w="11906" w:h="16838"/>
          <w:pgMar w:top="1440" w:right="1800" w:bottom="1440" w:left="1800" w:header="851" w:footer="992" w:gutter="0"/>
          <w:pgNumType w:fmt="numberInDash"/>
          <w:cols w:space="720" w:num="1"/>
          <w:docGrid w:linePitch="312" w:charSpace="0"/>
        </w:sectPr>
      </w:pPr>
      <w:r>
        <w:rPr>
          <w:rFonts w:hint="eastAsia" w:ascii="仿宋_GB2312" w:hAnsi="仿宋_GB2312" w:eastAsia="仿宋_GB2312" w:cs="仿宋_GB2312"/>
          <w:sz w:val="32"/>
          <w:szCs w:val="32"/>
        </w:rPr>
        <w:t>说明：供应商根据本项目情况自行编制服务方案</w:t>
      </w:r>
    </w:p>
    <w:bookmarkEnd w:id="93"/>
    <w:bookmarkEnd w:id="94"/>
    <w:bookmarkEnd w:id="95"/>
    <w:bookmarkEnd w:id="96"/>
    <w:bookmarkEnd w:id="97"/>
    <w:bookmarkEnd w:id="98"/>
    <w:p w14:paraId="4D44FF25">
      <w:pPr>
        <w:rPr>
          <w:rFonts w:ascii="Times New Roman" w:hAnsi="Times New Roman" w:eastAsia="黑体" w:cs="Times New Roman"/>
          <w:sz w:val="32"/>
          <w:szCs w:val="32"/>
        </w:rPr>
      </w:pPr>
      <w:r>
        <w:rPr>
          <w:rFonts w:ascii="Times New Roman" w:hAnsi="Times New Roman" w:eastAsia="黑体" w:cs="Times New Roman"/>
          <w:sz w:val="32"/>
          <w:szCs w:val="32"/>
        </w:rPr>
        <w:t>附录12</w:t>
      </w:r>
    </w:p>
    <w:p w14:paraId="6AFD1444">
      <w:pPr>
        <w:jc w:val="center"/>
        <w:rPr>
          <w:rFonts w:hint="eastAsia" w:ascii="黑体" w:hAnsi="黑体" w:eastAsia="黑体" w:cs="黑体"/>
          <w:sz w:val="32"/>
          <w:szCs w:val="32"/>
        </w:rPr>
      </w:pPr>
      <w:r>
        <w:rPr>
          <w:rFonts w:hint="eastAsia" w:ascii="黑体" w:hAnsi="黑体" w:eastAsia="黑体" w:cs="黑体"/>
          <w:sz w:val="32"/>
          <w:szCs w:val="32"/>
        </w:rPr>
        <w:t>磋商文件要求提供的其他资料</w:t>
      </w:r>
    </w:p>
    <w:p w14:paraId="09FF6F24">
      <w:pPr>
        <w:spacing w:line="578" w:lineRule="exact"/>
        <w:rPr>
          <w:rFonts w:ascii="Times New Roman" w:hAnsi="Times New Roman" w:eastAsia="仿宋_GB2312" w:cs="Times New Roman"/>
          <w:sz w:val="32"/>
          <w:szCs w:val="32"/>
        </w:rPr>
      </w:pPr>
    </w:p>
    <w:p w14:paraId="2B4FE2A9">
      <w:pPr>
        <w:spacing w:line="578" w:lineRule="exact"/>
        <w:ind w:firstLine="640" w:firstLineChars="200"/>
        <w:rPr>
          <w:rFonts w:ascii="Times New Roman" w:hAnsi="Times New Roman" w:eastAsia="宋体" w:cs="Times New Roman"/>
          <w:sz w:val="30"/>
        </w:rPr>
        <w:sectPr>
          <w:pgSz w:w="11910" w:h="16840"/>
          <w:pgMar w:top="1380" w:right="1520" w:bottom="980" w:left="1540" w:header="0" w:footer="718" w:gutter="0"/>
          <w:pgNumType w:fmt="numberInDash"/>
          <w:cols w:space="720" w:num="1"/>
        </w:sectPr>
      </w:pPr>
      <w:r>
        <w:rPr>
          <w:rFonts w:ascii="Times New Roman" w:hAnsi="Times New Roman" w:eastAsia="仿宋_GB2312" w:cs="Times New Roman"/>
          <w:sz w:val="32"/>
          <w:szCs w:val="32"/>
        </w:rPr>
        <w:t>凡是在评审因素中要求考察的内容，供应商均须有响应文件中提供详细的材料证明</w:t>
      </w:r>
    </w:p>
    <w:p w14:paraId="5EA68530">
      <w:pPr>
        <w:pStyle w:val="2"/>
        <w:keepNext w:val="0"/>
        <w:keepLines w:val="0"/>
        <w:spacing w:before="0" w:after="0" w:line="578" w:lineRule="exact"/>
        <w:jc w:val="center"/>
        <w:rPr>
          <w:rFonts w:hint="eastAsia" w:ascii="黑体" w:hAnsi="黑体" w:eastAsia="黑体" w:cs="黑体"/>
          <w:bCs/>
          <w:color w:val="000000" w:themeColor="text1"/>
          <w:szCs w:val="32"/>
          <w14:textFill>
            <w14:solidFill>
              <w14:schemeClr w14:val="tx1"/>
            </w14:solidFill>
          </w14:textFill>
        </w:rPr>
      </w:pPr>
      <w:bookmarkStart w:id="108" w:name="_Toc104383963"/>
      <w:bookmarkStart w:id="109" w:name="_Toc20763"/>
      <w:r>
        <w:rPr>
          <w:rFonts w:hint="eastAsia" w:ascii="黑体" w:hAnsi="黑体" w:eastAsia="黑体" w:cs="黑体"/>
          <w:b w:val="0"/>
          <w:szCs w:val="32"/>
        </w:rPr>
        <w:t>第六部分  合同文本</w:t>
      </w:r>
      <w:bookmarkEnd w:id="108"/>
      <w:bookmarkEnd w:id="109"/>
    </w:p>
    <w:p w14:paraId="3550784D">
      <w:pPr>
        <w:spacing w:line="578" w:lineRule="exact"/>
        <w:jc w:val="center"/>
        <w:rPr>
          <w:rFonts w:ascii="Times New Roman" w:hAnsi="Times New Roman" w:eastAsia="宋体" w:cs="Times New Roman"/>
          <w:color w:val="000000" w:themeColor="text1"/>
          <w14:textFill>
            <w14:solidFill>
              <w14:schemeClr w14:val="tx1"/>
            </w14:solidFill>
          </w14:textFill>
        </w:rPr>
      </w:pPr>
    </w:p>
    <w:p w14:paraId="6B23F118">
      <w:pPr>
        <w:pStyle w:val="15"/>
        <w:spacing w:before="156" w:beforeLines="50"/>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咨询服务合同参照水利部水利工程安全生产管理有关规定执行。</w:t>
      </w:r>
    </w:p>
    <w:p w14:paraId="5CE51EBA">
      <w:pPr>
        <w:rPr>
          <w:rFonts w:ascii="Times New Roman" w:hAnsi="Times New Roman" w:cs="Times New Roman"/>
        </w:rPr>
      </w:pPr>
    </w:p>
    <w:p w14:paraId="5CD8ACE5">
      <w:pPr>
        <w:pStyle w:val="10"/>
        <w:ind w:left="0" w:leftChars="0" w:firstLine="0" w:firstLineChars="0"/>
        <w:rPr>
          <w:rFonts w:ascii="Times New Roman" w:hAnsi="Times New Roman" w:eastAsia="方正仿宋简体" w:cs="Times New Roman"/>
          <w:sz w:val="32"/>
          <w:szCs w:val="32"/>
        </w:rPr>
      </w:pPr>
    </w:p>
    <w:p w14:paraId="7F6DB989"/>
    <w:sectPr>
      <w:footerReference r:id="rId7" w:type="default"/>
      <w:pgSz w:w="11906" w:h="16838"/>
      <w:pgMar w:top="2098" w:right="1474" w:bottom="1984" w:left="1587"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Helv">
    <w:altName w:val="Arial"/>
    <w:panose1 w:val="020B060402020203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12B70">
    <w:pPr>
      <w:pStyle w:val="7"/>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144C8">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8E144C8">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25CDF">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96DC6">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- 9 -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2D96DC6">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- 9 -</w:t>
                    </w:r>
                    <w:r>
                      <w:rPr>
                        <w:rFonts w:hint="eastAsia" w:asciiTheme="minorEastAsia" w:hAnsi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388DC">
    <w:pPr>
      <w:pStyle w:val="7"/>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29663">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- 22 -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F229663">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- 22 -</w:t>
                    </w:r>
                    <w:r>
                      <w:rPr>
                        <w:rFonts w:hint="eastAsia" w:asciiTheme="minorEastAsia" w:hAnsiTheme="minorEastAsia" w:cstheme="minorEastAsia"/>
                        <w:sz w:val="28"/>
                        <w:szCs w:val="28"/>
                      </w:rPr>
                      <w:fldChar w:fldCharType="end"/>
                    </w:r>
                  </w:p>
                </w:txbxContent>
              </v:textbox>
            </v:shape>
          </w:pict>
        </mc:Fallback>
      </mc:AlternateContent>
    </w:r>
  </w:p>
  <w:p w14:paraId="7E862CA5">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CFC16">
    <w:pPr>
      <w:pStyle w:val="7"/>
      <w:ind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F3812">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- 40 -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10F3812">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- 40 -</w:t>
                    </w:r>
                    <w:r>
                      <w:rPr>
                        <w:rFonts w:hint="eastAsia" w:asciiTheme="minorEastAsia" w:hAnsi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77B3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MzUwNmYwOTljMWE1YmQ1N2VjZmMwM2QxNjA3MzgifQ=="/>
  </w:docVars>
  <w:rsids>
    <w:rsidRoot w:val="5EB166D6"/>
    <w:rsid w:val="004527AD"/>
    <w:rsid w:val="007074C9"/>
    <w:rsid w:val="00B62B24"/>
    <w:rsid w:val="00D67C3D"/>
    <w:rsid w:val="02DC3017"/>
    <w:rsid w:val="0B0D3F2D"/>
    <w:rsid w:val="0C152AE7"/>
    <w:rsid w:val="0C1C1833"/>
    <w:rsid w:val="15127C5A"/>
    <w:rsid w:val="15432418"/>
    <w:rsid w:val="1A1F13EE"/>
    <w:rsid w:val="1AF25CBA"/>
    <w:rsid w:val="1AFA5418"/>
    <w:rsid w:val="1B527002"/>
    <w:rsid w:val="2258480D"/>
    <w:rsid w:val="22C34BFF"/>
    <w:rsid w:val="294D2BB7"/>
    <w:rsid w:val="2C8245F8"/>
    <w:rsid w:val="387F5121"/>
    <w:rsid w:val="39AB7F9A"/>
    <w:rsid w:val="41D17CBA"/>
    <w:rsid w:val="426E79CE"/>
    <w:rsid w:val="471A0442"/>
    <w:rsid w:val="49B06B1E"/>
    <w:rsid w:val="4EF6380F"/>
    <w:rsid w:val="507B66E6"/>
    <w:rsid w:val="51A72EFC"/>
    <w:rsid w:val="51A96C75"/>
    <w:rsid w:val="52F932E4"/>
    <w:rsid w:val="567A473C"/>
    <w:rsid w:val="5B6F05E7"/>
    <w:rsid w:val="5BBB710D"/>
    <w:rsid w:val="5EB166D6"/>
    <w:rsid w:val="631A52DC"/>
    <w:rsid w:val="634E640E"/>
    <w:rsid w:val="694D4F77"/>
    <w:rsid w:val="69C43296"/>
    <w:rsid w:val="6E617BAA"/>
    <w:rsid w:val="6F9C27BE"/>
    <w:rsid w:val="711377E7"/>
    <w:rsid w:val="7385227C"/>
    <w:rsid w:val="74997F1B"/>
    <w:rsid w:val="75146119"/>
    <w:rsid w:val="7DD10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cs="Century"/>
      <w:b/>
      <w:kern w:val="44"/>
      <w:sz w:val="32"/>
    </w:rPr>
  </w:style>
  <w:style w:type="paragraph" w:styleId="3">
    <w:name w:val="heading 2"/>
    <w:basedOn w:val="1"/>
    <w:next w:val="1"/>
    <w:autoRedefine/>
    <w:qFormat/>
    <w:uiPriority w:val="0"/>
    <w:pPr>
      <w:keepNext/>
      <w:keepLines/>
      <w:spacing w:before="260" w:after="260" w:line="500" w:lineRule="exact"/>
      <w:outlineLvl w:val="1"/>
    </w:pPr>
    <w:rPr>
      <w:rFonts w:ascii="Helv" w:hAnsi="Helv" w:eastAsia="Calibri" w:cs="Century"/>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0"/>
    <w:pPr>
      <w:spacing w:after="120"/>
    </w:pPr>
    <w:rPr>
      <w:rFonts w:cs="Century"/>
    </w:rPr>
  </w:style>
  <w:style w:type="paragraph" w:styleId="5">
    <w:name w:val="Body Text Indent"/>
    <w:basedOn w:val="1"/>
    <w:autoRedefine/>
    <w:qFormat/>
    <w:uiPriority w:val="0"/>
    <w:pPr>
      <w:ind w:firstLine="630"/>
    </w:pPr>
    <w:rPr>
      <w:rFonts w:cs="Century"/>
      <w:sz w:val="32"/>
    </w:rPr>
  </w:style>
  <w:style w:type="paragraph" w:styleId="6">
    <w:name w:val="Plain Text"/>
    <w:basedOn w:val="1"/>
    <w:autoRedefine/>
    <w:qFormat/>
    <w:uiPriority w:val="0"/>
    <w:rPr>
      <w:rFonts w:ascii="仿宋" w:hAnsi="Wingdings" w:cs="Century"/>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pPr>
      <w:autoSpaceDE w:val="0"/>
      <w:autoSpaceDN w:val="0"/>
      <w:spacing w:before="289"/>
      <w:ind w:left="191"/>
      <w:jc w:val="left"/>
    </w:pPr>
    <w:rPr>
      <w:rFonts w:ascii="仿宋" w:hAnsi="仿宋" w:cs="仿宋"/>
      <w:kern w:val="0"/>
      <w:lang w:eastAsia="en-US"/>
    </w:rPr>
  </w:style>
  <w:style w:type="paragraph" w:styleId="10">
    <w:name w:val="Body Text First Indent 2"/>
    <w:basedOn w:val="5"/>
    <w:autoRedefine/>
    <w:unhideWhenUsed/>
    <w:qFormat/>
    <w:uiPriority w:val="99"/>
    <w:pPr>
      <w:spacing w:after="120"/>
      <w:ind w:left="420" w:leftChars="200" w:firstLine="420" w:firstLineChars="200"/>
    </w:pPr>
    <w:rPr>
      <w:rFonts w:ascii="Century" w:hAnsi="Century" w:eastAsia="Arial"/>
      <w:sz w:val="21"/>
    </w:rPr>
  </w:style>
  <w:style w:type="character" w:styleId="13">
    <w:name w:val="Hyperlink"/>
    <w:autoRedefine/>
    <w:qFormat/>
    <w:uiPriority w:val="99"/>
    <w:rPr>
      <w:color w:val="0000FF"/>
      <w:u w:val="single"/>
    </w:rPr>
  </w:style>
  <w:style w:type="paragraph" w:styleId="14">
    <w:name w:val="List Paragraph"/>
    <w:basedOn w:val="1"/>
    <w:autoRedefine/>
    <w:qFormat/>
    <w:uiPriority w:val="34"/>
    <w:pPr>
      <w:autoSpaceDE w:val="0"/>
      <w:autoSpaceDN w:val="0"/>
      <w:spacing w:before="152"/>
      <w:ind w:left="104" w:firstLine="480"/>
      <w:jc w:val="left"/>
    </w:pPr>
    <w:rPr>
      <w:rFonts w:ascii="仿宋" w:hAnsi="仿宋" w:cs="仿宋"/>
      <w:kern w:val="0"/>
      <w:sz w:val="22"/>
      <w:szCs w:val="22"/>
      <w:lang w:eastAsia="en-US"/>
    </w:rPr>
  </w:style>
  <w:style w:type="paragraph" w:customStyle="1" w:styleId="15">
    <w:name w:val="样式5"/>
    <w:basedOn w:val="16"/>
    <w:autoRedefine/>
    <w:qFormat/>
    <w:uiPriority w:val="0"/>
    <w:pPr>
      <w:ind w:firstLine="0" w:firstLineChars="0"/>
      <w:jc w:val="center"/>
    </w:pPr>
    <w:rPr>
      <w:rFonts w:eastAsia="黑体"/>
    </w:rPr>
  </w:style>
  <w:style w:type="paragraph" w:customStyle="1" w:styleId="16">
    <w:name w:val="样式4"/>
    <w:basedOn w:val="1"/>
    <w:autoRedefine/>
    <w:qFormat/>
    <w:uiPriority w:val="0"/>
    <w:pPr>
      <w:ind w:firstLine="480" w:firstLineChars="200"/>
    </w:pPr>
    <w:rPr>
      <w:rFonts w:eastAsia="宋体"/>
      <w:color w:val="000000"/>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10174</Words>
  <Characters>10559</Characters>
  <Lines>86</Lines>
  <Paragraphs>24</Paragraphs>
  <TotalTime>20</TotalTime>
  <ScaleCrop>false</ScaleCrop>
  <LinksUpToDate>false</LinksUpToDate>
  <CharactersWithSpaces>10794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2024-03-20T07:53:00Z</dcterms:created>
  <dc:creator>Administrator</dc:creator>
  <cp:lastModifiedBy>R</cp:lastModifiedBy>
  <cp:lastPrinted>2025-02-20T10:33:00Z</cp:lastPrinted>
  <dcterms:modified xsi:type="dcterms:W3CDTF">2026-03-30T08:05:24Z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9D6443A0D28147759DC5343ED826617B_13</vt:lpwstr>
  </property>
  <property fmtid="{D5CDD505-2E9C-101B-9397-08002B2CF9AE}" pid="4" name="KSOTemplateDocerSaveRecord">
    <vt:lpwstr>eyJoZGlkIjoiOGI1ZDAxMmQxNzRhOGY3YzAzYzAxZjNkZjQ4MTc1YTUiLCJ1c2VySWQiOiI0NTk1MjMyMDAifQ==</vt:lpwstr>
  </property>
</Properties>
</file>